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 w:rsidP="00C32A94">
      <w:pPr>
        <w:spacing w:line="276" w:lineRule="auto"/>
        <w:jc w:val="right"/>
      </w:pPr>
    </w:p>
    <w:p w14:paraId="7E7FCC0C" w14:textId="24E73EBF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  <w:r w:rsidR="001B6E7B" w:rsidRPr="009C615F">
        <w:rPr>
          <w:noProof/>
        </w:rPr>
        <w:drawing>
          <wp:inline distT="0" distB="0" distL="0" distR="0" wp14:anchorId="6A309F0B" wp14:editId="362AC918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 w:rsidP="00C32A94">
      <w:pPr>
        <w:spacing w:after="218" w:line="276" w:lineRule="auto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 w:rsidP="00C32A94">
      <w:pPr>
        <w:spacing w:after="218" w:line="276" w:lineRule="auto"/>
        <w:rPr>
          <w:b/>
        </w:rPr>
      </w:pPr>
    </w:p>
    <w:p w14:paraId="7C1A7AFF" w14:textId="77777777" w:rsidR="00BE3FD7" w:rsidRDefault="00BE3FD7" w:rsidP="00C32A94">
      <w:pPr>
        <w:spacing w:after="218" w:line="276" w:lineRule="auto"/>
        <w:rPr>
          <w:b/>
        </w:rPr>
      </w:pPr>
    </w:p>
    <w:p w14:paraId="39BCAD77" w14:textId="4980AC6E" w:rsidR="008B01D1" w:rsidRDefault="008B01D1" w:rsidP="00C32A94">
      <w:pPr>
        <w:spacing w:after="230" w:line="276" w:lineRule="auto"/>
      </w:pPr>
    </w:p>
    <w:p w14:paraId="165785AD" w14:textId="177519F3" w:rsidR="008B01D1" w:rsidRPr="00F612F8" w:rsidRDefault="009F27CD" w:rsidP="00C32A94">
      <w:pPr>
        <w:spacing w:after="38" w:line="276" w:lineRule="auto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2D63CB">
        <w:rPr>
          <w:b/>
          <w:sz w:val="44"/>
        </w:rPr>
        <w:t xml:space="preserve">  </w:t>
      </w:r>
      <w:r w:rsidR="002E2F2E">
        <w:rPr>
          <w:b/>
          <w:i/>
          <w:iCs/>
          <w:sz w:val="44"/>
        </w:rPr>
        <w:t xml:space="preserve">ROZWÓJ KSZTAŁCENIA ZAWODOWEGO </w:t>
      </w:r>
      <w:r w:rsidR="00B701C9">
        <w:rPr>
          <w:b/>
          <w:i/>
          <w:iCs/>
          <w:sz w:val="44"/>
        </w:rPr>
        <w:br/>
      </w:r>
      <w:r w:rsidR="002E2F2E">
        <w:rPr>
          <w:b/>
          <w:i/>
          <w:iCs/>
          <w:sz w:val="44"/>
        </w:rPr>
        <w:t>W WOJEWÓDZTWIE OPOLSKIM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 w:rsidP="00C32A94">
      <w:pPr>
        <w:spacing w:after="38" w:line="276" w:lineRule="auto"/>
        <w:ind w:left="46"/>
      </w:pPr>
      <w:r>
        <w:rPr>
          <w:b/>
          <w:sz w:val="44"/>
        </w:rPr>
        <w:t xml:space="preserve"> </w:t>
      </w:r>
    </w:p>
    <w:p w14:paraId="16A47082" w14:textId="77777777" w:rsidR="008B01D1" w:rsidRDefault="009F27CD" w:rsidP="00C32A94">
      <w:pPr>
        <w:spacing w:after="41" w:line="276" w:lineRule="auto"/>
        <w:ind w:left="46"/>
        <w:jc w:val="center"/>
      </w:pPr>
      <w:r>
        <w:rPr>
          <w:b/>
          <w:sz w:val="44"/>
        </w:rPr>
        <w:t xml:space="preserve"> </w:t>
      </w:r>
    </w:p>
    <w:p w14:paraId="7CAEB795" w14:textId="5EF70789" w:rsidR="008B01D1" w:rsidRDefault="008B01D1" w:rsidP="00C32A94">
      <w:pPr>
        <w:spacing w:after="0" w:line="276" w:lineRule="auto"/>
        <w:ind w:left="46"/>
        <w:jc w:val="center"/>
      </w:pPr>
    </w:p>
    <w:p w14:paraId="45E8F992" w14:textId="77777777" w:rsidR="00A141F3" w:rsidRDefault="00A141F3" w:rsidP="00C32A94">
      <w:pPr>
        <w:spacing w:after="0" w:line="276" w:lineRule="auto"/>
        <w:ind w:left="46"/>
        <w:jc w:val="center"/>
      </w:pPr>
    </w:p>
    <w:p w14:paraId="15BB37F9" w14:textId="77777777" w:rsidR="00A141F3" w:rsidRDefault="00A141F3" w:rsidP="00C32A94">
      <w:pPr>
        <w:spacing w:after="0" w:line="276" w:lineRule="auto"/>
        <w:ind w:left="46"/>
        <w:jc w:val="center"/>
      </w:pPr>
    </w:p>
    <w:p w14:paraId="4A5F0E71" w14:textId="77777777" w:rsidR="00A141F3" w:rsidRDefault="00A141F3" w:rsidP="00C32A94">
      <w:pPr>
        <w:spacing w:after="0" w:line="276" w:lineRule="auto"/>
        <w:ind w:left="46"/>
        <w:jc w:val="center"/>
      </w:pPr>
      <w:bookmarkStart w:id="0" w:name="_GoBack"/>
      <w:bookmarkEnd w:id="0"/>
    </w:p>
    <w:p w14:paraId="55C5C8A9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3B2C0716" w14:textId="1C1370F2" w:rsidR="00F612F8" w:rsidRDefault="009F27CD" w:rsidP="00C32A94">
      <w:pPr>
        <w:spacing w:after="427" w:line="276" w:lineRule="auto"/>
      </w:pPr>
      <w:r>
        <w:t xml:space="preserve"> </w:t>
      </w:r>
    </w:p>
    <w:p w14:paraId="2318A1FF" w14:textId="77777777" w:rsidR="008B01D1" w:rsidRPr="00F612F8" w:rsidRDefault="009F27CD" w:rsidP="00C32A94">
      <w:pPr>
        <w:spacing w:after="31" w:line="276" w:lineRule="auto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5A76FFFE" w:rsidR="00680F97" w:rsidRPr="00680F97" w:rsidRDefault="00680F97" w:rsidP="00C32A94">
      <w:pPr>
        <w:spacing w:after="218" w:line="276" w:lineRule="auto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</w:t>
      </w:r>
      <w:r w:rsidR="001B6E7B">
        <w:rPr>
          <w:b/>
          <w:sz w:val="40"/>
          <w:szCs w:val="40"/>
        </w:rPr>
        <w:t>2</w:t>
      </w:r>
      <w:r w:rsidR="001B6E7B" w:rsidRPr="00680F97">
        <w:rPr>
          <w:b/>
          <w:sz w:val="40"/>
          <w:szCs w:val="40"/>
        </w:rPr>
        <w:t xml:space="preserve"> </w:t>
      </w:r>
    </w:p>
    <w:p w14:paraId="5E991D18" w14:textId="36AD6B8D" w:rsidR="001B6E7B" w:rsidRPr="00DD2A63" w:rsidRDefault="00F612F8" w:rsidP="00C32A94">
      <w:pPr>
        <w:spacing w:after="218" w:line="276" w:lineRule="auto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362CE3">
        <w:rPr>
          <w:sz w:val="28"/>
          <w:szCs w:val="28"/>
        </w:rPr>
        <w:t>LISTOPAD</w:t>
      </w:r>
      <w:r w:rsidR="001B6E7B" w:rsidRPr="00F612F8">
        <w:rPr>
          <w:sz w:val="28"/>
          <w:szCs w:val="28"/>
        </w:rPr>
        <w:t xml:space="preserve"> 201</w:t>
      </w:r>
      <w:r w:rsidR="001B6E7B">
        <w:rPr>
          <w:sz w:val="28"/>
          <w:szCs w:val="28"/>
        </w:rPr>
        <w:t>9</w:t>
      </w:r>
    </w:p>
    <w:p w14:paraId="135BE39D" w14:textId="77777777" w:rsidR="008B01D1" w:rsidRDefault="009F27CD" w:rsidP="00C32A94">
      <w:pPr>
        <w:spacing w:after="218" w:line="276" w:lineRule="auto"/>
      </w:pPr>
      <w:r>
        <w:rPr>
          <w:b/>
        </w:rPr>
        <w:lastRenderedPageBreak/>
        <w:t xml:space="preserve"> </w:t>
      </w:r>
    </w:p>
    <w:p w14:paraId="4737AEF7" w14:textId="4BC335A4" w:rsidR="008B01D1" w:rsidRPr="00C32A94" w:rsidRDefault="00680F97" w:rsidP="00C32A94">
      <w:pPr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t xml:space="preserve">Niniejszy dokument określa minimum wymagań dotyczących </w:t>
      </w:r>
      <w:r w:rsidR="00563CEB" w:rsidRPr="00C32A94">
        <w:rPr>
          <w:sz w:val="24"/>
          <w:szCs w:val="24"/>
        </w:rPr>
        <w:t xml:space="preserve">nabywania kwalifikacji </w:t>
      </w:r>
      <w:r w:rsidR="00362CE3">
        <w:rPr>
          <w:sz w:val="24"/>
          <w:szCs w:val="24"/>
        </w:rPr>
        <w:br/>
      </w:r>
      <w:r w:rsidR="00563CEB" w:rsidRPr="00C32A94">
        <w:rPr>
          <w:sz w:val="24"/>
          <w:szCs w:val="24"/>
        </w:rPr>
        <w:t>i kompetencji</w:t>
      </w:r>
      <w:r w:rsidR="0028639B" w:rsidRPr="00C32A94">
        <w:rPr>
          <w:sz w:val="24"/>
          <w:szCs w:val="24"/>
        </w:rPr>
        <w:t>,</w:t>
      </w:r>
      <w:r w:rsidR="00563CEB" w:rsidRPr="00C32A94">
        <w:rPr>
          <w:sz w:val="24"/>
          <w:szCs w:val="24"/>
        </w:rPr>
        <w:t xml:space="preserve"> ich walidacji i certyfiko</w:t>
      </w:r>
      <w:r w:rsidR="00615FA4" w:rsidRPr="00C32A94">
        <w:rPr>
          <w:sz w:val="24"/>
          <w:szCs w:val="24"/>
        </w:rPr>
        <w:t xml:space="preserve">wania w ramach </w:t>
      </w:r>
      <w:r w:rsidR="00E66163" w:rsidRPr="00C32A94">
        <w:rPr>
          <w:sz w:val="24"/>
          <w:szCs w:val="24"/>
        </w:rPr>
        <w:t>d</w:t>
      </w:r>
      <w:r w:rsidR="00615FA4" w:rsidRPr="00C32A94">
        <w:rPr>
          <w:sz w:val="24"/>
          <w:szCs w:val="24"/>
        </w:rPr>
        <w:t>ziałania 9.2</w:t>
      </w:r>
      <w:r w:rsidR="008D44EB" w:rsidRPr="00C32A94">
        <w:rPr>
          <w:sz w:val="24"/>
          <w:szCs w:val="24"/>
        </w:rPr>
        <w:t xml:space="preserve"> </w:t>
      </w:r>
      <w:r w:rsidR="00615FA4" w:rsidRPr="00C32A94">
        <w:rPr>
          <w:i/>
          <w:sz w:val="24"/>
          <w:szCs w:val="24"/>
        </w:rPr>
        <w:t>Rozwój kształcenia zawodowego</w:t>
      </w:r>
      <w:r w:rsidR="009913ED" w:rsidRPr="00C32A94">
        <w:rPr>
          <w:sz w:val="24"/>
          <w:szCs w:val="24"/>
        </w:rPr>
        <w:t xml:space="preserve"> RPO WO 2014-2020</w:t>
      </w:r>
      <w:r w:rsidR="00615FA4" w:rsidRPr="00C32A94">
        <w:rPr>
          <w:sz w:val="24"/>
          <w:szCs w:val="24"/>
        </w:rPr>
        <w:t xml:space="preserve">, Osi IX </w:t>
      </w:r>
      <w:r w:rsidR="00615FA4" w:rsidRPr="00C32A94">
        <w:rPr>
          <w:i/>
          <w:sz w:val="24"/>
          <w:szCs w:val="24"/>
        </w:rPr>
        <w:t>Wysoka jakość edukacji</w:t>
      </w:r>
      <w:r w:rsidR="00615FA4" w:rsidRPr="00C32A94">
        <w:rPr>
          <w:sz w:val="24"/>
          <w:szCs w:val="24"/>
        </w:rPr>
        <w:t xml:space="preserve"> RPO WO 2014-2020.</w:t>
      </w:r>
    </w:p>
    <w:p w14:paraId="38FF9373" w14:textId="77777777" w:rsidR="00563CEB" w:rsidRPr="00C32A94" w:rsidRDefault="00563CEB" w:rsidP="00C32A94">
      <w:pPr>
        <w:pStyle w:val="Akapitzlist"/>
        <w:numPr>
          <w:ilvl w:val="0"/>
          <w:numId w:val="10"/>
        </w:numPr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Kwalifikacja</w:t>
      </w:r>
      <w:r w:rsidRPr="00C32A94">
        <w:rPr>
          <w:sz w:val="24"/>
          <w:szCs w:val="24"/>
        </w:rPr>
        <w:t xml:space="preserve"> to określony zestaw </w:t>
      </w:r>
      <w:r w:rsidRPr="00C32A94">
        <w:rPr>
          <w:sz w:val="24"/>
          <w:szCs w:val="24"/>
          <w:u w:val="single"/>
        </w:rPr>
        <w:t>efektów uczenia się</w:t>
      </w:r>
      <w:r w:rsidRPr="00C32A94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C32A94">
        <w:rPr>
          <w:sz w:val="24"/>
          <w:szCs w:val="24"/>
        </w:rPr>
        <w:t>pozaformalnej</w:t>
      </w:r>
      <w:proofErr w:type="spellEnd"/>
      <w:r w:rsidRPr="00C32A94">
        <w:rPr>
          <w:sz w:val="24"/>
          <w:szCs w:val="24"/>
        </w:rPr>
        <w:t xml:space="preserve"> lub poprzez uczenie się nieformalne, zgodnych z ustalonymi dla danej kwalifikacji </w:t>
      </w:r>
      <w:r w:rsidRPr="00C32A94">
        <w:rPr>
          <w:sz w:val="24"/>
          <w:szCs w:val="24"/>
          <w:u w:val="single"/>
        </w:rPr>
        <w:t>wymaganiami</w:t>
      </w:r>
      <w:r w:rsidRPr="00C32A94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7EBC9C76" w14:textId="47AF7854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Zgodność z ustalonymi wymaganiami</w:t>
      </w:r>
      <w:r w:rsidRPr="00C32A94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  <w:r w:rsidRPr="00266463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0D0F4A8F" w14:textId="6D41741D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t xml:space="preserve">Opisanie kwalifikacji za pomocą </w:t>
      </w:r>
      <w:r w:rsidRPr="00C32A94">
        <w:rPr>
          <w:b/>
          <w:sz w:val="24"/>
          <w:szCs w:val="24"/>
        </w:rPr>
        <w:t>efektów uczenia się</w:t>
      </w:r>
      <w:r w:rsidRPr="00C32A94">
        <w:rPr>
          <w:sz w:val="24"/>
          <w:szCs w:val="24"/>
        </w:rPr>
        <w:t xml:space="preserve"> jest ważne z kilku powodów. </w:t>
      </w:r>
      <w:r w:rsidRPr="00C32A94">
        <w:rPr>
          <w:sz w:val="24"/>
          <w:szCs w:val="24"/>
        </w:rPr>
        <w:br/>
        <w:t xml:space="preserve">Po pierwsze, pozwala w przejrzysty sposób przedstawić wiedzę, umiejętności </w:t>
      </w:r>
      <w:r w:rsidR="00266463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i kompetencje społeczne osób posiadających kwalifikację. Stanowi więc cenne źródło informacji dla osób planujących swoją ścieżkę rozwoju osobistego i zawodowego oraz dla pracodawców. </w:t>
      </w:r>
      <w:r w:rsidRPr="00C32A94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</w:rPr>
        <w:t>niezależnie od miejsca uczenia się i czasu poświęconego na uczenie się – może formalnie potwierd</w:t>
      </w:r>
      <w:r w:rsidR="00266463">
        <w:rPr>
          <w:sz w:val="24"/>
          <w:szCs w:val="24"/>
        </w:rPr>
        <w:t xml:space="preserve">zić swoją wiedzę, umiejętności </w:t>
      </w:r>
      <w:r w:rsidRPr="00C32A94">
        <w:rPr>
          <w:sz w:val="24"/>
          <w:szCs w:val="24"/>
        </w:rPr>
        <w:t xml:space="preserve">i kompetencje społeczne oraz przygotowanie do podejmowania określonych zadań. </w:t>
      </w:r>
      <w:r w:rsidRPr="00C32A94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C32A94">
        <w:rPr>
          <w:sz w:val="24"/>
          <w:szCs w:val="24"/>
        </w:rPr>
        <w:t>kiej Ramy Kwalifikacji</w:t>
      </w:r>
      <w:r w:rsidR="00D21B5B" w:rsidRPr="00C32A94">
        <w:rPr>
          <w:rStyle w:val="Odwoanieprzypisudolnego"/>
          <w:sz w:val="24"/>
          <w:szCs w:val="24"/>
        </w:rPr>
        <w:footnoteReference w:id="1"/>
      </w:r>
      <w:r w:rsidRPr="00C32A94">
        <w:rPr>
          <w:sz w:val="24"/>
          <w:szCs w:val="24"/>
        </w:rPr>
        <w:t>, a za jej pośrednictwem do Europejskiej Ramy Kwalifikacji.</w:t>
      </w:r>
      <w:r w:rsidR="00266463">
        <w:rPr>
          <w:sz w:val="24"/>
          <w:szCs w:val="24"/>
        </w:rPr>
        <w:t xml:space="preserve"> </w:t>
      </w:r>
      <w:r w:rsidRPr="00266463">
        <w:rPr>
          <w:sz w:val="24"/>
          <w:szCs w:val="24"/>
        </w:rPr>
        <w:t>Ułatwi w ten sposób porównywanie ze sobą kwalifikac</w:t>
      </w:r>
      <w:r w:rsidR="00266463">
        <w:rPr>
          <w:sz w:val="24"/>
          <w:szCs w:val="24"/>
        </w:rPr>
        <w:t xml:space="preserve">ji funkcjonujących na krajowym </w:t>
      </w:r>
      <w:r w:rsidRPr="00266463">
        <w:rPr>
          <w:sz w:val="24"/>
          <w:szCs w:val="24"/>
        </w:rPr>
        <w:t>i międzynarodowym rynku pracy.</w:t>
      </w:r>
    </w:p>
    <w:p w14:paraId="1EAC0B5F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1F96634B" w14:textId="0C71287E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Efekty uczenia</w:t>
      </w:r>
      <w:r w:rsidRPr="00C32A94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676C0431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35E9C4BC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  <w:r w:rsidRPr="00C32A94">
        <w:rPr>
          <w:b/>
          <w:sz w:val="24"/>
          <w:szCs w:val="24"/>
        </w:rPr>
        <w:t>Przykłady efektów uczenia się:</w:t>
      </w:r>
    </w:p>
    <w:p w14:paraId="642D409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33"/>
        <w:gridCol w:w="2789"/>
        <w:gridCol w:w="2874"/>
      </w:tblGrid>
      <w:tr w:rsidR="00563CEB" w:rsidRPr="00C32A94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jc w:val="center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4AF6A7B9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Wybrane efekty uczenia się dla danej kwalifikacji </w:t>
            </w:r>
          </w:p>
          <w:p w14:paraId="0B16B51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  <w:r w:rsidRPr="00C32A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63CEB" w:rsidRPr="00C32A94" w14:paraId="2F4A7E88" w14:textId="77777777" w:rsidTr="00563CEB">
        <w:tc>
          <w:tcPr>
            <w:tcW w:w="3038" w:type="dxa"/>
          </w:tcPr>
          <w:p w14:paraId="70F936CF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C32A94" w:rsidRDefault="00563CE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1B8FFDB9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Weterynaria </w:t>
            </w:r>
          </w:p>
          <w:p w14:paraId="7E05718D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C32A94" w:rsidRDefault="00D21B5B" w:rsidP="00C32A94">
            <w:pPr>
              <w:pStyle w:val="Default"/>
              <w:spacing w:line="276" w:lineRule="auto"/>
              <w:rPr>
                <w:color w:val="auto"/>
              </w:rPr>
            </w:pPr>
          </w:p>
          <w:p w14:paraId="4F29E5C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zasady żywienia zwierząt, układa i analizuje dawki pokarmowe </w:t>
            </w:r>
          </w:p>
          <w:p w14:paraId="155FEB3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C32A94">
              <w:rPr>
                <w:rFonts w:asciiTheme="minorHAnsi" w:hAnsiTheme="minorHAnsi"/>
              </w:rPr>
              <w:t xml:space="preserve"> </w:t>
            </w:r>
            <w:r w:rsidRPr="00C32A94">
              <w:rPr>
                <w:rFonts w:asciiTheme="minorHAnsi" w:hAnsiTheme="minorHAnsi"/>
              </w:rPr>
              <w:t xml:space="preserve">komórkowym </w:t>
            </w:r>
          </w:p>
          <w:p w14:paraId="1BCE749F" w14:textId="481809DD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wykonuje badania przed-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poubojowe oraz ocenia jakość produktów pochodzenia zwierzęcego </w:t>
            </w:r>
          </w:p>
          <w:p w14:paraId="5A5CA59E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16C7FA48" w14:textId="77777777" w:rsidTr="00563CEB">
        <w:tc>
          <w:tcPr>
            <w:tcW w:w="3038" w:type="dxa"/>
          </w:tcPr>
          <w:p w14:paraId="57E502F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7AFBC96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Magister farmacji </w:t>
            </w:r>
          </w:p>
          <w:p w14:paraId="7BE28DD2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4D9E05B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Farmacja </w:t>
            </w:r>
          </w:p>
          <w:p w14:paraId="424D430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6C2B148E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wpływ środków dezynfekujących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antyseptycznych na drobnoustroje </w:t>
            </w:r>
          </w:p>
          <w:p w14:paraId="33509202" w14:textId="77777777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wykorzystuje techniki biologii molekularnej </w:t>
            </w:r>
            <w:r w:rsidRPr="00C32A94">
              <w:rPr>
                <w:rFonts w:asciiTheme="minorHAnsi" w:hAnsiTheme="minorHAnsi"/>
              </w:rPr>
              <w:br/>
              <w:t xml:space="preserve">w diagnostyce mikrobiologicznej </w:t>
            </w:r>
          </w:p>
          <w:p w14:paraId="34FE31C4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2015E7DE" w14:textId="77777777" w:rsidTr="00563CEB">
        <w:tc>
          <w:tcPr>
            <w:tcW w:w="3038" w:type="dxa"/>
          </w:tcPr>
          <w:p w14:paraId="10D959FA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7D5D79AC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ukończenia szkoły podstawowej </w:t>
            </w:r>
          </w:p>
          <w:p w14:paraId="0611C1F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58BF78B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Podstawa programowa edukacji wczesnoszkolnej </w:t>
            </w:r>
            <w:r w:rsidRPr="00C32A94">
              <w:rPr>
                <w:rFonts w:asciiTheme="minorHAnsi" w:hAnsiTheme="minorHAnsi"/>
              </w:rPr>
              <w:br/>
              <w:t xml:space="preserve">w zakresie matematyki (klasy I-III) </w:t>
            </w:r>
          </w:p>
          <w:p w14:paraId="4488211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67F7963B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 xml:space="preserve"> </w:t>
            </w:r>
            <w:r w:rsidRPr="00C32A94">
              <w:rPr>
                <w:rFonts w:asciiTheme="minorHAnsi" w:hAnsiTheme="minorHAnsi" w:cs="Arial"/>
              </w:rPr>
              <w:t xml:space="preserve">waży przedmioty używając kilogram, dekagram, gram </w:t>
            </w:r>
          </w:p>
          <w:p w14:paraId="03CB0F48" w14:textId="77777777" w:rsidR="00D21B5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0B0B7F75" w14:textId="77777777" w:rsidTr="00563CEB">
        <w:tc>
          <w:tcPr>
            <w:tcW w:w="3038" w:type="dxa"/>
          </w:tcPr>
          <w:p w14:paraId="036CF7A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665B0DE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dojrzałości (matura) </w:t>
            </w:r>
          </w:p>
          <w:p w14:paraId="063ED70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7E5DEEB" w14:textId="77777777" w:rsidR="001B6E7B" w:rsidRPr="00C32A94" w:rsidRDefault="001B6E7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33CC82C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Nowa podstawa programowa </w:t>
            </w:r>
          </w:p>
          <w:p w14:paraId="47C21EED" w14:textId="77777777" w:rsidR="00563CE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Geografia – liceum (zakres podstawowy)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14:paraId="35D4E0B1" w14:textId="03108104" w:rsidR="00D21B5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wyjaśnia na czym polegają zmiany na rynku pracy w skali globalnej, regionalnej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wynikające z rozwoju technologii informacyjno-komunikacyjnych </w:t>
            </w:r>
          </w:p>
          <w:p w14:paraId="5EB97006" w14:textId="17288959" w:rsidR="00563CE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b/>
              </w:rPr>
            </w:pPr>
            <w:r w:rsidRPr="00C32A94">
              <w:rPr>
                <w:rFonts w:asciiTheme="minorHAnsi" w:hAnsiTheme="minorHAnsi"/>
              </w:rPr>
              <w:t xml:space="preserve">dokonuje oceny zjawiska uzależnienia produkcji energii na świecie od źródeł zaopatrzenia surowców nieodnawialnych, potrafi wyjaśnić twierdzenie „ropa rządzi światem” </w:t>
            </w:r>
          </w:p>
        </w:tc>
      </w:tr>
    </w:tbl>
    <w:p w14:paraId="532566D9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p w14:paraId="5CE76746" w14:textId="77777777" w:rsidR="008B01D1" w:rsidRPr="00C32A94" w:rsidRDefault="009F27CD" w:rsidP="00C32A94">
      <w:pPr>
        <w:spacing w:after="0" w:line="276" w:lineRule="auto"/>
        <w:ind w:left="4537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 </w:t>
      </w:r>
    </w:p>
    <w:p w14:paraId="3471DD78" w14:textId="77777777" w:rsidR="008B01D1" w:rsidRPr="00C32A94" w:rsidRDefault="00D21B5B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C32A94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C32A94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C32A94" w:rsidRDefault="00D21B5B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C32A94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60F57B0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Efekty uczenia się da wybranego zestawu danej kwalifikacji </w:t>
            </w:r>
          </w:p>
          <w:p w14:paraId="1AB1692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Kryteria weryfikacji przypisane danym efektom uczenia się </w:t>
            </w:r>
          </w:p>
          <w:p w14:paraId="71C0076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Planowanie i realizacja animacji czasu wolnego </w:t>
            </w:r>
          </w:p>
          <w:p w14:paraId="20F7CA1F" w14:textId="77777777" w:rsidR="00D21B5B" w:rsidRPr="00C32A94" w:rsidRDefault="00D21B5B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0EDC17D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Realizuje program imprezy </w:t>
            </w:r>
          </w:p>
          <w:p w14:paraId="518A792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3A44FE6" w14:textId="5D3F4BCF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Dostosowuje sposób realizacji imprezy do oczekiwań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możliwości uczestników </w:t>
            </w:r>
          </w:p>
          <w:p w14:paraId="4199F928" w14:textId="4BC080EC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Zapewnia świadczenia zastępcze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przypadku braku możliwości realizacji programu </w:t>
            </w:r>
          </w:p>
          <w:p w14:paraId="4AF83BC3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Sprawuje opiekę nad uczestnikami imprezy </w:t>
            </w:r>
          </w:p>
          <w:p w14:paraId="5DBFEEF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1F4B1A46" w14:textId="604C2CF3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procedury postępowania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sytuacjach niebezpiecznych </w:t>
            </w:r>
          </w:p>
          <w:p w14:paraId="1F3BA2AF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Stosuje przepisy prawa dotyczące zapewnienia uczestnikom imprezy bezpieczeństwa </w:t>
            </w:r>
          </w:p>
          <w:p w14:paraId="4DDCD057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różnorodne sposoby rozwiązywania sytuacji problemowych </w:t>
            </w:r>
          </w:p>
          <w:p w14:paraId="2B317F5C" w14:textId="2B321759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Udziela uczestnikom imprezy niezbędnej pomocy zgodnie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obowiązującymi przepisami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zasadami etyki zawodowej </w:t>
            </w:r>
          </w:p>
          <w:p w14:paraId="24EFB98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72BA" w:rsidRPr="00C32A94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Konserwowanie nadwozia pojazdów samochodowych </w:t>
            </w:r>
          </w:p>
          <w:p w14:paraId="3E4C3070" w14:textId="77777777" w:rsidR="00A872BA" w:rsidRPr="00C32A94" w:rsidRDefault="00A872BA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559146F0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331EC8F5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Konsultuje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klientem zakres mycia i konserwacji nadwozia pojazdu </w:t>
            </w:r>
          </w:p>
          <w:p w14:paraId="63E148F9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7152292" w14:textId="77777777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Określa zakres mycia i konserwacji nadwozia pojazdu</w:t>
            </w:r>
          </w:p>
          <w:p w14:paraId="06E8C41A" w14:textId="0929D28F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 Przyjmuje zamówienie na usługę mycia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</w:t>
            </w:r>
          </w:p>
        </w:tc>
      </w:tr>
      <w:tr w:rsidR="00A872BA" w:rsidRPr="00C32A94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6BF72CEC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Dobiera środki, urządzenia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technologie wykorzystywane podczas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0502ED58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56B5F5F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 Rozpoznaje lakiery stosowane na nadwoziach pojazdów</w:t>
            </w:r>
          </w:p>
          <w:p w14:paraId="11C27691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Rozpoznaje materiały z których wykonane są zderzaki, lusterka, listwy boczne</w:t>
            </w:r>
          </w:p>
          <w:p w14:paraId="6C4B59C9" w14:textId="79B1FA25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Dobiera urządzenia wykorzystywane podczas mycia </w:t>
            </w:r>
            <w:r w:rsidR="005109CF" w:rsidRP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>i konserwacji nadwozia pojazdu</w:t>
            </w:r>
          </w:p>
          <w:p w14:paraId="6E546A98" w14:textId="04835884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</w:pPr>
            <w:r w:rsidRPr="00C32A94">
              <w:rPr>
                <w:rFonts w:asciiTheme="minorHAnsi" w:hAnsiTheme="minorHAnsi" w:cs="Arial"/>
              </w:rPr>
              <w:t xml:space="preserve"> Dobiera środki stosowane do mycia </w:t>
            </w:r>
            <w:r w:rsid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 xml:space="preserve">i konserwacji nadwozia pojazdu </w:t>
            </w:r>
          </w:p>
        </w:tc>
      </w:tr>
      <w:tr w:rsidR="00A872BA" w:rsidRPr="00C32A94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koszty wykonania usługi </w:t>
            </w:r>
          </w:p>
          <w:p w14:paraId="2EDB0604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516900E" w14:textId="3DE78051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na podstawie cennika koszty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2103F394" w14:textId="3E987E7D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59F7F005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7BFC311" w14:textId="75327E63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 xml:space="preserve">Walidacja </w:t>
      </w:r>
      <w:r w:rsidRPr="00C32A94">
        <w:rPr>
          <w:sz w:val="24"/>
          <w:szCs w:val="24"/>
        </w:rPr>
        <w:t xml:space="preserve">to wieloetapowy proces sprawdzania, czy – niezależnie od sposobu uczenia się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– efekty uczenia się wymagane dla danej kwalifikacji zostały osiągnięte. Walidacja poprzedza certyfikowanie. Walidacja obejmuje </w:t>
      </w:r>
      <w:r w:rsidRPr="00C32A94">
        <w:rPr>
          <w:sz w:val="24"/>
          <w:szCs w:val="24"/>
          <w:u w:val="single"/>
        </w:rPr>
        <w:t>identyfikację</w:t>
      </w:r>
      <w:r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  <w:u w:val="single"/>
        </w:rPr>
        <w:t>i dokumentację</w:t>
      </w:r>
      <w:r w:rsidRPr="00C32A94">
        <w:rPr>
          <w:sz w:val="24"/>
          <w:szCs w:val="24"/>
        </w:rPr>
        <w:t xml:space="preserve"> posiadanych efektów uczenia się oraz ich </w:t>
      </w:r>
      <w:r w:rsidRPr="00C32A94">
        <w:rPr>
          <w:sz w:val="24"/>
          <w:szCs w:val="24"/>
          <w:u w:val="single"/>
        </w:rPr>
        <w:t>weryfikację</w:t>
      </w:r>
      <w:r w:rsidRPr="00C32A94">
        <w:rPr>
          <w:sz w:val="24"/>
          <w:szCs w:val="24"/>
        </w:rPr>
        <w:t xml:space="preserve"> w odniesieniu do wymagań określonych dla kwalifikacji. Walidacja powinna być prowadzona w sposób </w:t>
      </w:r>
      <w:r w:rsidRPr="00C32A94">
        <w:rPr>
          <w:sz w:val="24"/>
          <w:szCs w:val="24"/>
          <w:u w:val="single"/>
        </w:rPr>
        <w:t>trafny</w:t>
      </w:r>
      <w:r w:rsidRPr="00C32A94">
        <w:rPr>
          <w:sz w:val="24"/>
          <w:szCs w:val="24"/>
        </w:rPr>
        <w:t xml:space="preserve"> (weryfikowane są te efekty uczenia się, które zostały określone dla danej kwalifikacji) i </w:t>
      </w:r>
      <w:r w:rsidRPr="00C32A94">
        <w:rPr>
          <w:sz w:val="24"/>
          <w:szCs w:val="24"/>
          <w:u w:val="single"/>
        </w:rPr>
        <w:t>rzetelny</w:t>
      </w:r>
      <w:r w:rsidRPr="00C32A94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C32A94" w:rsidRDefault="00A872BA" w:rsidP="00C32A94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1B25F7A4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podmioty (np. egzamin na prawo jazdy przeprowadza Wojewódzki Ośrodek Ruchu Drogowego, natomiast dokument, tj. prawo jazdy, wydaje starosta powiatu). Certyfikaty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inne dokumenty potwierdzające uzyskanie kwalifikacji powinny być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danym środowisku, sektorze lub branży. </w:t>
      </w:r>
    </w:p>
    <w:p w14:paraId="15B3DA0A" w14:textId="1A9A18C2" w:rsidR="00A872BA" w:rsidRPr="00C32A94" w:rsidRDefault="00A872BA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070A05C6" w14:textId="620FC959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144FB22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można uznać w przypadku przeprowadzenia procesu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certyfikowania, że dana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zgodnie z Rozporządzeniem Ministra Infrastruktury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w sprawie Krajowego Programu Szkolenia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357ABD52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zawodu, można uznać, że osoby te, uzyskały kwalifikację. Procedury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powinny odbyć się zgodnie z zasadami określonymi w Ustawie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Zintegrowanym Systemie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C32A94">
        <w:rPr>
          <w:rFonts w:asciiTheme="minorHAnsi" w:hAnsiTheme="minorHAnsi"/>
          <w:sz w:val="24"/>
          <w:szCs w:val="24"/>
        </w:rPr>
        <w:t xml:space="preserve"> (Dz. U. </w:t>
      </w:r>
      <w:r w:rsidR="00644076" w:rsidRPr="00C32A94">
        <w:rPr>
          <w:rFonts w:asciiTheme="minorHAnsi" w:hAnsiTheme="minorHAnsi"/>
          <w:sz w:val="24"/>
          <w:szCs w:val="24"/>
        </w:rPr>
        <w:t>2018</w:t>
      </w:r>
      <w:r w:rsidR="00A64864" w:rsidRPr="00C32A94">
        <w:rPr>
          <w:rFonts w:asciiTheme="minorHAnsi" w:hAnsiTheme="minorHAnsi"/>
          <w:sz w:val="24"/>
          <w:szCs w:val="24"/>
        </w:rPr>
        <w:t xml:space="preserve">, poz. </w:t>
      </w:r>
      <w:r w:rsidR="00644076" w:rsidRPr="00C32A94">
        <w:rPr>
          <w:rFonts w:asciiTheme="minorHAnsi" w:hAnsiTheme="minorHAnsi"/>
          <w:sz w:val="24"/>
          <w:szCs w:val="24"/>
        </w:rPr>
        <w:t xml:space="preserve">2153 </w:t>
      </w:r>
      <w:r w:rsidR="00A64864" w:rsidRPr="00C32A94">
        <w:rPr>
          <w:rFonts w:asciiTheme="minorHAnsi" w:hAnsiTheme="minorHAnsi"/>
          <w:sz w:val="24"/>
          <w:szCs w:val="24"/>
        </w:rPr>
        <w:t>z</w:t>
      </w:r>
      <w:r w:rsidR="00644076" w:rsidRPr="00C32A94">
        <w:rPr>
          <w:rFonts w:asciiTheme="minorHAnsi" w:hAnsiTheme="minorHAnsi"/>
          <w:sz w:val="24"/>
          <w:szCs w:val="24"/>
        </w:rPr>
        <w:t>e</w:t>
      </w:r>
      <w:r w:rsidR="00A64864" w:rsidRPr="00C32A94">
        <w:rPr>
          <w:rFonts w:asciiTheme="minorHAnsi" w:hAnsiTheme="minorHAnsi"/>
          <w:sz w:val="24"/>
          <w:szCs w:val="24"/>
        </w:rPr>
        <w:t xml:space="preserve"> zm.)</w:t>
      </w:r>
      <w:r w:rsidRPr="00C32A94">
        <w:rPr>
          <w:rFonts w:asciiTheme="minorHAnsi" w:hAnsiTheme="minorHAnsi"/>
          <w:sz w:val="24"/>
          <w:szCs w:val="24"/>
        </w:rPr>
        <w:t>;</w:t>
      </w:r>
    </w:p>
    <w:p w14:paraId="337EF0D6" w14:textId="2DAB42DE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zawody regulowane</w:t>
      </w:r>
      <w:r w:rsidRPr="00C32A9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32A94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zawodów regulowanych (wydanie certyfikatu jest powiązane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z warunkiem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5BF58B8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certyfikaty międzynarodowe – wydanie certyfikatu, dla którego wypracowano system walidacji i certyfikowania efektów uczenia się na poziomie międzynarodowym,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np. certyfikat z zakresu doradztwa finansowego, oparte na standardzie EFPA, certyfikaty językowe, np. TELC.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(polskie przepisy prawne odwołują się wprost do danego</w:t>
      </w:r>
    </w:p>
    <w:p w14:paraId="68609C3D" w14:textId="77777777" w:rsidR="00A872BA" w:rsidRPr="00C32A94" w:rsidRDefault="00A872BA" w:rsidP="00C32A94">
      <w:pPr>
        <w:pStyle w:val="Akapitzlist"/>
        <w:spacing w:after="0" w:line="276" w:lineRule="auto"/>
        <w:ind w:left="145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certyfikatu/ egzaminu) albo</w:t>
      </w:r>
    </w:p>
    <w:p w14:paraId="5D56BF5A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został przyznany przez organizacje międzynarodowe (rządowe lub pozarządowe) albo</w:t>
      </w:r>
    </w:p>
    <w:p w14:paraId="63F7CED0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6387B0D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jeżeli projekt odnosi się do konkretnej kwalifikacji to beneficjent we wniosku </w:t>
      </w:r>
      <w:r w:rsidR="00266463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dofinansowanie jest zobowiązany do uzasadnienia rozpoznawalności danego certyfikatu w branży.</w:t>
      </w:r>
    </w:p>
    <w:p w14:paraId="27A3D764" w14:textId="77777777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41F98773" w:rsidR="00A872BA" w:rsidRPr="00C32A94" w:rsidRDefault="00A872BA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Jeśli chodzi o tzw. </w:t>
      </w:r>
      <w:r w:rsidRPr="00C32A94">
        <w:rPr>
          <w:rFonts w:asciiTheme="minorHAnsi" w:hAnsiTheme="minorHAnsi"/>
          <w:b/>
          <w:sz w:val="24"/>
          <w:szCs w:val="24"/>
        </w:rPr>
        <w:t>uprawnienia stanowiskowe</w:t>
      </w:r>
      <w:r w:rsidRPr="00C32A94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C32A94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potwierdzającego uprawnienia do wykonywania zawodu na danym stanowisku (np. operator koparko</w:t>
      </w:r>
      <w:r w:rsidR="001B6E7B" w:rsidRPr="00C32A94">
        <w:rPr>
          <w:rFonts w:asciiTheme="minorHAnsi" w:hAnsiTheme="minorHAnsi"/>
          <w:sz w:val="24"/>
          <w:szCs w:val="24"/>
        </w:rPr>
        <w:t>-</w:t>
      </w:r>
      <w:r w:rsidRPr="00C32A94">
        <w:rPr>
          <w:rFonts w:asciiTheme="minorHAnsi" w:hAnsiTheme="minorHAnsi"/>
          <w:sz w:val="24"/>
          <w:szCs w:val="24"/>
        </w:rPr>
        <w:t xml:space="preserve">ładowarki, wózka widłowego itp.) pod warunkiem, że została przeprowadzona walidacja i został </w:t>
      </w:r>
      <w:r w:rsidRPr="00C32A94">
        <w:rPr>
          <w:rFonts w:asciiTheme="minorHAnsi" w:hAnsiTheme="minorHAnsi" w:cs="Arial"/>
          <w:sz w:val="24"/>
          <w:szCs w:val="24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C32A94" w:rsidRDefault="00AD3966" w:rsidP="00C32A94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29F44883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(np.: Urząd Dozoru Technicznego). Natomiast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 zakresie pozostałych kwalifikacji ważnych dla rynku pracy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każda instytucja będąca stroną umowy o dofinansowanie (IP, IZ) decyduje o uznaniu danego dokumentu za potwierdzający uzyskanie kwalifikacji na podstawie powyższych przesłanek (walidacji, certyfikowania, rozpoznawalności i uznawalności w danej branży).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Właściwa instytucja powinna dokonać weryfikacji uznania kwalifikacji na etapie oceny wniosku o dofinansowanie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1B8E9CEA" w:rsidR="00A872BA" w:rsidRPr="00C32A94" w:rsidRDefault="00A872BA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 xml:space="preserve">ustawa </w:t>
      </w:r>
      <w:r w:rsidR="00C32A94">
        <w:rPr>
          <w:rFonts w:asciiTheme="minorHAnsi" w:eastAsiaTheme="minorEastAsia" w:hAnsiTheme="minorHAnsi" w:cs="Arial"/>
          <w:i/>
          <w:i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o Zintegrowanym Systemie Kwalifikacji)</w:t>
      </w:r>
      <w:r w:rsidRPr="00C32A94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C32A94" w:rsidRDefault="00615FA4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E2DDE6D" w14:textId="77777777" w:rsidR="004C53DE" w:rsidRDefault="004C53DE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6798C342" w14:textId="77777777" w:rsidR="00266463" w:rsidRPr="00C32A94" w:rsidRDefault="00266463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4428C3C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Możliwości uzyskiwania kwalifikacji </w:t>
      </w:r>
    </w:p>
    <w:p w14:paraId="6AEC5F4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a. Kwalifikacje nadawane w systemie oświaty i szkolnictwa wyższego </w:t>
      </w:r>
    </w:p>
    <w:p w14:paraId="3D07DF57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709DEC3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(Dz.U. 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>2019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>,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 xml:space="preserve">1149 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ze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zm.), </w:t>
      </w:r>
    </w:p>
    <w:p w14:paraId="76692EAD" w14:textId="13AEE590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2018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1668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16246F75" w14:textId="0B82AB1B" w:rsidR="00A85625" w:rsidRPr="00C32A94" w:rsidRDefault="00A85625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Ministra Edukacji Narodowej z dnia 15 lutego 2019r. w sprawie ogólnych celów i zadań kształcenia w zawodach szkolnictwa branżowego oraz klasyfikacji zawodów szkolnictwa branżowego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 xml:space="preserve"> (Dz. U. z 2019 r. poz. 316 ze zm.)</w:t>
      </w:r>
      <w:r w:rsidR="008D1A0D" w:rsidRPr="00C32A94">
        <w:rPr>
          <w:rStyle w:val="Odwoanieprzypisudolnego"/>
          <w:rFonts w:asciiTheme="minorHAnsi" w:eastAsiaTheme="minorEastAsia" w:hAnsiTheme="minorHAnsi" w:cs="Arial"/>
          <w:sz w:val="24"/>
          <w:szCs w:val="24"/>
        </w:rPr>
        <w:footnoteReference w:id="4"/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>,</w:t>
      </w:r>
    </w:p>
    <w:p w14:paraId="3C309C3B" w14:textId="7A4FFA05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tra Edukacji Narodowej z dnia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19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652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). </w:t>
      </w:r>
    </w:p>
    <w:p w14:paraId="2FE6672A" w14:textId="77777777" w:rsidR="00AD3966" w:rsidRPr="00C32A94" w:rsidRDefault="00AD3966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Kwalifikacje w zawodzie </w:t>
      </w:r>
    </w:p>
    <w:p w14:paraId="56191067" w14:textId="5AC1E664" w:rsidR="00680F97" w:rsidRPr="00C32A94" w:rsidRDefault="00AD3966" w:rsidP="00266463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Uczniowie kończący naukę w </w:t>
      </w:r>
      <w:r w:rsidR="00980CB8" w:rsidRPr="00C32A94">
        <w:rPr>
          <w:rFonts w:asciiTheme="minorHAnsi" w:eastAsiaTheme="minorEastAsia" w:hAnsiTheme="minorHAnsi" w:cs="Arial"/>
          <w:sz w:val="24"/>
          <w:szCs w:val="24"/>
        </w:rPr>
        <w:t xml:space="preserve">szkołach branżowych I stopnia, szkołach branżowych II stopnia, technikach,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pozaszkolnych form kształcenia). Kwalifikacyjny kurs zawodowy jest prowadzony według programu nauczania uwzględniającego podstawę programową kształcenia w zawodach,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zakresie wybranej kwalifikacji. Kwalifikacyjny kurs zawodowy może być organizowany zarówno przez 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podmioty wymienione w  art. 117 ust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2 ustawy Prawo oświatowe</w:t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>tj.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publiczne i niepubliczne szkoły prowadzące kształcenie zawodowe, z wyjątkiem szkół artystycznych - w zakresie zawodów, w których kształcą, oraz w zakresie innych zawodów przypisanych do branż, do których należą zawody, w których kształci szkoła, publiczne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i niepubliczne placówki kształcenia ustawicznego i centra kształcenia zawodowego, jak również instytucje rynku pracy, o których mowa w</w:t>
      </w:r>
      <w:r w:rsidR="004D23A8" w:rsidRPr="00C32A94">
        <w:rPr>
          <w:rFonts w:asciiTheme="minorHAnsi" w:eastAsiaTheme="minorEastAsia" w:hAnsiTheme="minorHAnsi" w:cs="Arial"/>
          <w:color w:val="auto"/>
          <w:sz w:val="24"/>
          <w:szCs w:val="24"/>
        </w:rPr>
        <w:t xml:space="preserve"> </w:t>
      </w:r>
      <w:hyperlink r:id="rId9" w:anchor="/document/17091885?unitId=art(6)&amp;cm=DOCUMENT" w:history="1">
        <w:r w:rsidR="004D23A8" w:rsidRPr="00C32A94">
          <w:rPr>
            <w:rStyle w:val="Hipercze"/>
            <w:rFonts w:asciiTheme="minorHAnsi" w:eastAsiaTheme="minorEastAsia" w:hAnsiTheme="minorHAnsi" w:cs="Arial"/>
            <w:color w:val="auto"/>
            <w:sz w:val="24"/>
            <w:szCs w:val="24"/>
            <w:u w:val="none"/>
          </w:rPr>
          <w:t>art. 6</w:t>
        </w:r>
      </w:hyperlink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 ustawy z dnia 20 kwietnia 2004 r.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o promocji zatrudnienia i instytucjach rynku pracy, prowadzące działalność edukacyjno-szkoleniową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podmioty prowadzące działalność oświatową, o której mowa w art.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170 ust</w:t>
      </w:r>
      <w:r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Egzaminy potwierdzające kwalifikacje w zawodzie prowadzą Okręgowe Komisje Egzaminacyjne (OKE). (Wymogi dotyczące organizacji kwalifikacyjnych kursów zawodowych reguluje Rozporządzenie MEN w sprawie kształcenia ustawicznego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formach pozaszkolny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ch z dnia 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27A5B30C" w14:textId="7DA3108C" w:rsidR="00CF5EC7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Ponadto, zgodnie z treścią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Wytycznych w zakresie realizacji przedsięwzięć z udziałem środków Europejskiego Funduszu Społecznego w obszarze edukacji na lata 2014-2020,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w ramach uzyskiwania lub uzupełniania wiedzy, umiejętności, kompetencji oraz kwalifikacji zawodowych przez uczniów i słuchaczy  możliwa jest</w:t>
      </w:r>
      <w:r w:rsidR="009C5352" w:rsidRPr="00C32A94">
        <w:rPr>
          <w:rFonts w:asciiTheme="minorHAnsi" w:eastAsiaTheme="minorEastAsia" w:hAnsiTheme="minorHAnsi" w:cs="Arial"/>
          <w:sz w:val="24"/>
          <w:szCs w:val="24"/>
        </w:rPr>
        <w:t xml:space="preserve"> m.in.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realizacja pozaszkolnych form kształcenia ustawicznego w tym  kursów umiejętności zawodowych, kursów kompetencji ogólnych, innych kursów umożliwiających uzyskanie i uzupełnienie wiedzy, umiejętności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kwalifikacji zawodowych</w:t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 xml:space="preserve"> na warunkach określonych w w/w rozporządzeniu.</w:t>
      </w:r>
    </w:p>
    <w:p w14:paraId="319CAB8E" w14:textId="19BAA056" w:rsidR="00AD3966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</w:p>
    <w:p w14:paraId="626E367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b. Kwalifikacje nadawane poza systemami oświaty i szkolnictwa wyższego przez organy władz publicznych i samorządów zawodowych </w:t>
      </w:r>
    </w:p>
    <w:p w14:paraId="6BB397FF" w14:textId="19CBAE1D" w:rsidR="00AD3966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>i innych podmiotów (np. izby rzemieślnicze, samorządy zawodowe). Podstawą prawną regulującą uzyskiw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anie kwalifikacji są ustawy lub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rozporządzenia, które regulują uzyskiwanie kwalifikacji zgodnie ze wspomnianymi wcześniej przesłankami (walidacja, certyfikacja). </w:t>
      </w:r>
    </w:p>
    <w:p w14:paraId="566BC741" w14:textId="77777777" w:rsidR="00C32A94" w:rsidRPr="00C32A94" w:rsidRDefault="00C32A94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3DAFAC2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Przygotowanie zawodowe dorosłych </w:t>
      </w:r>
    </w:p>
    <w:p w14:paraId="62D2DEAF" w14:textId="4BED0A45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2019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1482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C32A94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2E0F783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c. Kwalifikacje rynkowe </w:t>
      </w:r>
    </w:p>
    <w:p w14:paraId="52FFB53B" w14:textId="7FC7F39B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C32A94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C32A94" w:rsidRDefault="00615FA4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C32A94" w:rsidRDefault="00AD3966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C32A94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Financial Planning </w:t>
      </w:r>
      <w:proofErr w:type="spellStart"/>
      <w:r w:rsidRPr="00C32A94">
        <w:rPr>
          <w:rFonts w:asciiTheme="minorHAnsi" w:hAnsiTheme="minorHAnsi"/>
          <w:sz w:val="24"/>
          <w:szCs w:val="24"/>
        </w:rPr>
        <w:t>Association</w:t>
      </w:r>
      <w:proofErr w:type="spellEnd"/>
      <w:r w:rsidRPr="00C32A94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C32A94">
        <w:rPr>
          <w:rFonts w:asciiTheme="minorHAnsi" w:hAnsiTheme="minorHAnsi"/>
          <w:sz w:val="24"/>
          <w:szCs w:val="24"/>
        </w:rPr>
        <w:t>ogólnobankowy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5C732CE0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2F5BAF7A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informatycznych i informacyjnych (Digital </w:t>
      </w:r>
      <w:proofErr w:type="spellStart"/>
      <w:r w:rsidRPr="00C32A94">
        <w:rPr>
          <w:rFonts w:asciiTheme="minorHAnsi" w:hAnsiTheme="minorHAnsi"/>
          <w:sz w:val="24"/>
          <w:szCs w:val="24"/>
        </w:rPr>
        <w:t>Competence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Framework),DIGCOMP, np.: certyfikat IC3 (Internet and Computing </w:t>
      </w:r>
      <w:proofErr w:type="spellStart"/>
      <w:r w:rsidRPr="00C32A94">
        <w:rPr>
          <w:rFonts w:asciiTheme="minorHAnsi" w:hAnsiTheme="minorHAnsi"/>
          <w:sz w:val="24"/>
          <w:szCs w:val="24"/>
        </w:rPr>
        <w:t>Core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Certification</w:t>
      </w:r>
      <w:proofErr w:type="spellEnd"/>
      <w:r w:rsidRPr="00C32A94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Oracle Certyfikat Java;</w:t>
      </w:r>
    </w:p>
    <w:p w14:paraId="5D7A8711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Microsoft.</w:t>
      </w:r>
    </w:p>
    <w:p w14:paraId="409C841F" w14:textId="77777777" w:rsidR="001A105F" w:rsidRPr="00C32A94" w:rsidRDefault="001A105F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565D1BAA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C32A94">
        <w:rPr>
          <w:rFonts w:asciiTheme="minorHAnsi" w:hAnsiTheme="minorHAnsi"/>
          <w:sz w:val="24"/>
          <w:szCs w:val="24"/>
        </w:rPr>
        <w:t>Common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C32A94">
        <w:rPr>
          <w:rFonts w:asciiTheme="minorHAnsi" w:hAnsiTheme="minorHAnsi"/>
          <w:sz w:val="24"/>
          <w:szCs w:val="24"/>
        </w:rPr>
        <w:t>Languages</w:t>
      </w:r>
      <w:proofErr w:type="spellEnd"/>
      <w:r w:rsidRPr="00C32A94">
        <w:rPr>
          <w:rFonts w:asciiTheme="minorHAnsi" w:hAnsiTheme="minorHAnsi"/>
          <w:sz w:val="24"/>
          <w:szCs w:val="24"/>
        </w:rPr>
        <w:t>” - — „Europejski System Opisu kształcenia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C32A94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C32A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C32A94" w:rsidRDefault="001A105F" w:rsidP="00C32A94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C32A94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7777777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Wykazane powyżej certyfikaty i kwalifikacje stanowią jedynie przykłady i nie należy ich traktować jako zamkniętej listy. </w:t>
      </w:r>
    </w:p>
    <w:p w14:paraId="1A228565" w14:textId="6D1F1E00" w:rsidR="00BF0D37" w:rsidRPr="00C32A94" w:rsidRDefault="00BF0D37" w:rsidP="00266463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W związku z powyższym, otrzymanie ww. certyfikatów należy traktować jako uzyskanie kwalifikacji. Przykładowo certyfikat dla doradców finansowych EFA został wypracowany przez międzynarodową organizację pozarządową EFPA (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DCED352" w14:textId="77777777" w:rsidR="00266463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28DCB3A" w14:textId="77777777" w:rsidR="00266463" w:rsidRPr="00C32A94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b/>
          <w:bCs/>
          <w:sz w:val="24"/>
          <w:szCs w:val="24"/>
        </w:rPr>
        <w:t>Instytucje certyfikujące</w:t>
      </w:r>
    </w:p>
    <w:p w14:paraId="70189E0F" w14:textId="77777777" w:rsidR="00AD3966" w:rsidRPr="00C32A94" w:rsidRDefault="00AD3966" w:rsidP="00C32A94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3D0C8C80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instytucję certyfikującą należy rozumieć podmiot, który uzyskał uprawnienia do certyfikowania, spełniając wymogi określone w ustawie o ZSK z dnia 22 grudnia 2015 r.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(Dz. U. z 2018 r.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t>,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poz. 2153 ze  zm.)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, a w okresie przejściowym także podmiot, który spełnia podstawowe wymogi określone w ustawie o ZSK.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0AC02E2B" w14:textId="77777777" w:rsid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instytucji walidujących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posiadają stosowne akredytacje, szkół. </w:t>
      </w:r>
    </w:p>
    <w:p w14:paraId="1C04BA01" w14:textId="6D1B0872" w:rsidR="00680F9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upoważnienia instytucji walidującej do przeprowadzenia walidacji odpowiedzialność za prawidłowo przeprowadzany proces spoczywa na instytucji certyfikującej (Art. 47 ust. 3 ustawy o ZSK). W projektach realizowanych ze środków EFS można wykazywać wyłącznie kwalifikacje, których jakość gwarantują odpowiednie procedury i nadzór sprawowany przez konkretny podmiot. Aby zapewnić jakość walidacji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95B1130" w14:textId="77777777" w:rsidR="00680F97" w:rsidRPr="00C32A94" w:rsidRDefault="00BF0D37" w:rsidP="00C32A94">
      <w:pPr>
        <w:spacing w:after="0" w:line="276" w:lineRule="auto"/>
        <w:ind w:left="11"/>
        <w:rPr>
          <w:b/>
          <w:bCs/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:rsidRPr="00C32A94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C32A94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C32A94" w:rsidRDefault="00BF0D37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C32A94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C32A94" w:rsidRDefault="00BF0D37" w:rsidP="00C32A94">
            <w:pPr>
              <w:pStyle w:val="Default"/>
              <w:spacing w:line="276" w:lineRule="auto"/>
              <w:jc w:val="center"/>
            </w:pPr>
            <w:r w:rsidRPr="00C32A94">
              <w:rPr>
                <w:b/>
                <w:bCs/>
              </w:rPr>
              <w:t>I</w:t>
            </w:r>
            <w:r w:rsidRPr="00C32A94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C32A94" w14:paraId="4387E76B" w14:textId="77777777" w:rsidTr="00BF0D37">
        <w:tc>
          <w:tcPr>
            <w:tcW w:w="4558" w:type="dxa"/>
          </w:tcPr>
          <w:p w14:paraId="53E965E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C32A94" w14:paraId="4FDE14C9" w14:textId="77777777" w:rsidTr="00BF0D37">
        <w:tc>
          <w:tcPr>
            <w:tcW w:w="4558" w:type="dxa"/>
          </w:tcPr>
          <w:p w14:paraId="4FC5D54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C32A94" w14:paraId="3AAC194A" w14:textId="77777777" w:rsidTr="00BF0D37">
        <w:tc>
          <w:tcPr>
            <w:tcW w:w="4558" w:type="dxa"/>
          </w:tcPr>
          <w:p w14:paraId="15D0324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2A94">
              <w:rPr>
                <w:sz w:val="24"/>
                <w:szCs w:val="24"/>
              </w:rPr>
              <w:t>Competence</w:t>
            </w:r>
            <w:proofErr w:type="spellEnd"/>
            <w:r w:rsidRPr="00C32A94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(</w:t>
            </w:r>
            <w:proofErr w:type="spellStart"/>
            <w:r w:rsidRPr="00C32A94">
              <w:rPr>
                <w:sz w:val="24"/>
                <w:szCs w:val="24"/>
              </w:rPr>
              <w:t>np.ECDL</w:t>
            </w:r>
            <w:proofErr w:type="spellEnd"/>
            <w:r w:rsidRPr="00C32A94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przeprowadzają Centra Egzaminacyjne akredytowane przez</w:t>
            </w:r>
            <w:r w:rsidR="008C6FF8" w:rsidRPr="00C32A94">
              <w:rPr>
                <w:sz w:val="24"/>
                <w:szCs w:val="24"/>
              </w:rPr>
              <w:t xml:space="preserve"> </w:t>
            </w:r>
            <w:r w:rsidRPr="00C32A94">
              <w:rPr>
                <w:sz w:val="24"/>
                <w:szCs w:val="24"/>
              </w:rPr>
              <w:t>PTI)</w:t>
            </w:r>
          </w:p>
        </w:tc>
      </w:tr>
      <w:tr w:rsidR="00BF0D37" w:rsidRPr="00C32A94" w14:paraId="6A392969" w14:textId="77777777" w:rsidTr="00BF0D37">
        <w:tc>
          <w:tcPr>
            <w:tcW w:w="4558" w:type="dxa"/>
          </w:tcPr>
          <w:p w14:paraId="77530D10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C32A94" w14:paraId="4AA37673" w14:textId="77777777" w:rsidTr="00BF0D37">
        <w:tc>
          <w:tcPr>
            <w:tcW w:w="4558" w:type="dxa"/>
          </w:tcPr>
          <w:p w14:paraId="2DF6941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C32A94" w14:paraId="42A23130" w14:textId="77777777" w:rsidTr="00BF0D37">
        <w:tc>
          <w:tcPr>
            <w:tcW w:w="4558" w:type="dxa"/>
          </w:tcPr>
          <w:p w14:paraId="7C03EF0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Budownictwa</w:t>
            </w:r>
          </w:p>
        </w:tc>
      </w:tr>
      <w:tr w:rsidR="00BF0D37" w:rsidRPr="00C32A94" w14:paraId="29EB40A0" w14:textId="77777777" w:rsidTr="00BF0D37">
        <w:tc>
          <w:tcPr>
            <w:tcW w:w="4558" w:type="dxa"/>
          </w:tcPr>
          <w:p w14:paraId="6345DD1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C32A94" w14:paraId="30AC0CC0" w14:textId="77777777" w:rsidTr="00BF0D37">
        <w:tc>
          <w:tcPr>
            <w:tcW w:w="4558" w:type="dxa"/>
          </w:tcPr>
          <w:p w14:paraId="411AF9F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C32A94" w14:paraId="2C5C2424" w14:textId="77777777" w:rsidTr="00BF0D37">
        <w:tc>
          <w:tcPr>
            <w:tcW w:w="4558" w:type="dxa"/>
          </w:tcPr>
          <w:p w14:paraId="5371E11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4BA531F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Stowarzyszenie Księgowych w Polsce (Egzaminy przeprowadzają Oddziały Okręgowe Stowarzyszenia Księgowych </w:t>
            </w:r>
            <w:r w:rsidR="00266463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w Polsce)</w:t>
            </w:r>
          </w:p>
        </w:tc>
      </w:tr>
      <w:tr w:rsidR="00BF0D37" w:rsidRPr="00C32A94" w14:paraId="0CDE3EEC" w14:textId="77777777" w:rsidTr="00BF0D37">
        <w:tc>
          <w:tcPr>
            <w:tcW w:w="4558" w:type="dxa"/>
          </w:tcPr>
          <w:p w14:paraId="65E335C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C32A94" w14:paraId="250AA1F6" w14:textId="77777777" w:rsidTr="00BF0D37">
        <w:tc>
          <w:tcPr>
            <w:tcW w:w="4558" w:type="dxa"/>
          </w:tcPr>
          <w:p w14:paraId="452093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BF0D37" w:rsidRPr="00C32A94" w14:paraId="7DB4A47C" w14:textId="77777777" w:rsidTr="00BF0D37">
        <w:tc>
          <w:tcPr>
            <w:tcW w:w="4558" w:type="dxa"/>
          </w:tcPr>
          <w:p w14:paraId="23F4151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6DFCB152" w14:textId="77777777" w:rsidTr="00BF0D37">
        <w:tc>
          <w:tcPr>
            <w:tcW w:w="4558" w:type="dxa"/>
          </w:tcPr>
          <w:p w14:paraId="16171ED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4D14B121" w14:textId="77777777" w:rsidTr="00BF0D37">
        <w:tc>
          <w:tcPr>
            <w:tcW w:w="4558" w:type="dxa"/>
          </w:tcPr>
          <w:p w14:paraId="122B7DA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C32A94" w14:paraId="58814242" w14:textId="77777777" w:rsidTr="00BF0D37">
        <w:tc>
          <w:tcPr>
            <w:tcW w:w="4558" w:type="dxa"/>
          </w:tcPr>
          <w:p w14:paraId="2DDC23E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Rejestr Statków</w:t>
            </w:r>
          </w:p>
        </w:tc>
      </w:tr>
      <w:tr w:rsidR="00BF0D37" w:rsidRPr="00C32A94" w14:paraId="525872EF" w14:textId="77777777" w:rsidTr="00BF0D37">
        <w:tc>
          <w:tcPr>
            <w:tcW w:w="4558" w:type="dxa"/>
          </w:tcPr>
          <w:p w14:paraId="71D7B9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C32A94" w14:paraId="4AF8E1EB" w14:textId="77777777" w:rsidTr="00BF0D37">
        <w:tc>
          <w:tcPr>
            <w:tcW w:w="4558" w:type="dxa"/>
          </w:tcPr>
          <w:p w14:paraId="263E1E8E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Adwokacki</w:t>
            </w:r>
          </w:p>
        </w:tc>
      </w:tr>
      <w:tr w:rsidR="00BF0D37" w:rsidRPr="00C32A94" w14:paraId="66486E09" w14:textId="77777777" w:rsidTr="00BF0D37">
        <w:tc>
          <w:tcPr>
            <w:tcW w:w="4558" w:type="dxa"/>
          </w:tcPr>
          <w:p w14:paraId="48FFCDA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Morski</w:t>
            </w:r>
          </w:p>
        </w:tc>
      </w:tr>
      <w:tr w:rsidR="00BF0D37" w:rsidRPr="00C32A94" w14:paraId="3185B0A7" w14:textId="77777777" w:rsidTr="00BF0D37">
        <w:tc>
          <w:tcPr>
            <w:tcW w:w="4558" w:type="dxa"/>
          </w:tcPr>
          <w:p w14:paraId="03B2413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C32A94" w14:paraId="3D24BBE0" w14:textId="77777777" w:rsidTr="00BF0D37">
        <w:tc>
          <w:tcPr>
            <w:tcW w:w="4558" w:type="dxa"/>
          </w:tcPr>
          <w:p w14:paraId="70D6CA6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C32A94" w14:paraId="58EE0407" w14:textId="77777777" w:rsidTr="00BF0D37">
        <w:tc>
          <w:tcPr>
            <w:tcW w:w="4558" w:type="dxa"/>
          </w:tcPr>
          <w:p w14:paraId="45485DA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411FF7C6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Krajowa Organizacja Certyfikującą Europejskiego Towarzystwa Logistycznego (Egzaminy przeprowadza Instytut Logistyki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Magazynowania)</w:t>
            </w:r>
          </w:p>
        </w:tc>
      </w:tr>
      <w:tr w:rsidR="00BF0D37" w:rsidRPr="00C32A94" w14:paraId="097E0EBA" w14:textId="77777777" w:rsidTr="00BF0D37">
        <w:tc>
          <w:tcPr>
            <w:tcW w:w="4558" w:type="dxa"/>
          </w:tcPr>
          <w:p w14:paraId="3E1D600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 lub</w:t>
            </w:r>
          </w:p>
          <w:p w14:paraId="6E59E39E" w14:textId="0271323D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Instytut Mechanizacji Budownictwa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Górnictwa Skalnego</w:t>
            </w:r>
          </w:p>
        </w:tc>
      </w:tr>
      <w:tr w:rsidR="00BF0D37" w:rsidRPr="00C32A94" w14:paraId="2065314B" w14:textId="77777777" w:rsidTr="00BF0D37">
        <w:tc>
          <w:tcPr>
            <w:tcW w:w="4558" w:type="dxa"/>
          </w:tcPr>
          <w:p w14:paraId="44079F7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C32A94" w14:paraId="25E53AFB" w14:textId="77777777" w:rsidTr="00BF0D37">
        <w:tc>
          <w:tcPr>
            <w:tcW w:w="4558" w:type="dxa"/>
          </w:tcPr>
          <w:p w14:paraId="6520CEF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009D91C2" w14:textId="77777777" w:rsidTr="00BF0D37">
        <w:tc>
          <w:tcPr>
            <w:tcW w:w="4558" w:type="dxa"/>
          </w:tcPr>
          <w:p w14:paraId="661486D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C32A94" w14:paraId="677DAEBC" w14:textId="77777777" w:rsidTr="00BF0D37">
        <w:tc>
          <w:tcPr>
            <w:tcW w:w="4558" w:type="dxa"/>
          </w:tcPr>
          <w:p w14:paraId="37ED82D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C32A94" w14:paraId="07BDE816" w14:textId="77777777" w:rsidTr="00BF0D37">
        <w:tc>
          <w:tcPr>
            <w:tcW w:w="4558" w:type="dxa"/>
          </w:tcPr>
          <w:p w14:paraId="5BA5519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0CD7E8B" w14:textId="77777777" w:rsidTr="00BF0D37">
        <w:tc>
          <w:tcPr>
            <w:tcW w:w="4558" w:type="dxa"/>
          </w:tcPr>
          <w:p w14:paraId="1B7D5A5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10D1B86" w14:textId="77777777" w:rsidTr="00BF0D37">
        <w:tc>
          <w:tcPr>
            <w:tcW w:w="4558" w:type="dxa"/>
          </w:tcPr>
          <w:p w14:paraId="067C540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Czerwony Krzyż</w:t>
            </w:r>
          </w:p>
        </w:tc>
      </w:tr>
      <w:tr w:rsidR="00BF0D37" w:rsidRPr="00C32A94" w14:paraId="484C2BF2" w14:textId="77777777" w:rsidTr="00BF0D37">
        <w:tc>
          <w:tcPr>
            <w:tcW w:w="4558" w:type="dxa"/>
          </w:tcPr>
          <w:p w14:paraId="0EE5A9E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C32A94" w14:paraId="5BF79BA5" w14:textId="77777777" w:rsidTr="00BF0D37">
        <w:tc>
          <w:tcPr>
            <w:tcW w:w="4558" w:type="dxa"/>
          </w:tcPr>
          <w:p w14:paraId="2D3EC213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C32A94" w:rsidRDefault="00BF0D37" w:rsidP="00C32A94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3398FE0A" w14:textId="77777777" w:rsidR="00680F97" w:rsidRPr="00C32A94" w:rsidRDefault="001A105F" w:rsidP="00C32A94">
      <w:pPr>
        <w:spacing w:after="0" w:line="276" w:lineRule="auto"/>
        <w:ind w:left="11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C32A94">
        <w:rPr>
          <w:b/>
          <w:sz w:val="24"/>
          <w:szCs w:val="24"/>
          <w:u w:val="single"/>
        </w:rPr>
        <w:t>www.pca.gov.pl</w:t>
      </w:r>
      <w:r w:rsidRPr="00C32A94">
        <w:rPr>
          <w:sz w:val="24"/>
          <w:szCs w:val="24"/>
        </w:rPr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72E2DC8" w14:textId="77777777" w:rsidR="00A872BA" w:rsidRPr="00C32A94" w:rsidRDefault="00A872BA" w:rsidP="00266463">
      <w:pPr>
        <w:spacing w:after="0" w:line="276" w:lineRule="auto"/>
        <w:jc w:val="both"/>
        <w:rPr>
          <w:sz w:val="24"/>
          <w:szCs w:val="24"/>
        </w:rPr>
      </w:pPr>
    </w:p>
    <w:p w14:paraId="119F0D74" w14:textId="77777777" w:rsidR="00BC3CF9" w:rsidRPr="00C32A94" w:rsidRDefault="00BC3CF9" w:rsidP="00C32A94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C32A94">
        <w:rPr>
          <w:b/>
          <w:sz w:val="24"/>
          <w:szCs w:val="24"/>
        </w:rPr>
        <w:t>Kompetencje</w:t>
      </w:r>
      <w:r w:rsidRPr="00C32A94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C32A94" w:rsidRDefault="00BC3CF9" w:rsidP="00C32A94">
      <w:pPr>
        <w:spacing w:after="0" w:line="276" w:lineRule="auto"/>
        <w:ind w:left="284"/>
        <w:rPr>
          <w:sz w:val="24"/>
          <w:szCs w:val="24"/>
        </w:rPr>
      </w:pPr>
      <w:r w:rsidRPr="00C32A94">
        <w:rPr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a)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 – Zakres</w:t>
      </w:r>
      <w:r w:rsidRPr="00C32A94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 </w:t>
      </w:r>
    </w:p>
    <w:p w14:paraId="2B67ABC6" w14:textId="4BA0F054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b)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 – Wzorzec</w:t>
      </w:r>
      <w:r w:rsidRPr="00C32A94">
        <w:rPr>
          <w:sz w:val="24"/>
          <w:szCs w:val="24"/>
        </w:rPr>
        <w:t xml:space="preserve"> – zdefiniowanie we wniosku o dofinansowanie standardu wymagań,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tj. efektów uczenia się, które osiągną uczestnicy </w:t>
      </w:r>
    </w:p>
    <w:p w14:paraId="43358F6A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 xml:space="preserve">w wyniku przeprowadzonych działań projektowych, </w:t>
      </w:r>
    </w:p>
    <w:p w14:paraId="78CBB018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c)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III – Ocena</w:t>
      </w:r>
      <w:r w:rsidRPr="00C32A94">
        <w:rPr>
          <w:sz w:val="24"/>
          <w:szCs w:val="24"/>
        </w:rPr>
        <w:t xml:space="preserve"> – przeprowadzenie weryfikacji na podstawie opracowanych kryteriów oceny po zakończeniu wsparcia udzielanego danej osobie, </w:t>
      </w:r>
    </w:p>
    <w:p w14:paraId="6D5D11A8" w14:textId="783099C3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d)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IV – Porównanie</w:t>
      </w:r>
      <w:r w:rsidRPr="00C32A94">
        <w:rPr>
          <w:sz w:val="24"/>
          <w:szCs w:val="2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267B525E" w14:textId="77777777" w:rsidR="00BC3CF9" w:rsidRPr="00C32A94" w:rsidRDefault="00BC3CF9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6413AF32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  <w:u w:val="single"/>
        </w:rPr>
        <w:t>Nabyte kompetencje muszą być potwierdzone odpowiednim</w:t>
      </w:r>
      <w:r w:rsidR="000C2B36" w:rsidRPr="00C32A94">
        <w:rPr>
          <w:b/>
          <w:sz w:val="24"/>
          <w:szCs w:val="24"/>
          <w:u w:val="single"/>
        </w:rPr>
        <w:t>i dokumentami</w:t>
      </w:r>
      <w:r w:rsidRPr="00C32A94">
        <w:rPr>
          <w:b/>
          <w:sz w:val="24"/>
          <w:szCs w:val="24"/>
          <w:u w:val="single"/>
        </w:rPr>
        <w:t xml:space="preserve"> </w:t>
      </w:r>
      <w:r w:rsidR="000C2B36" w:rsidRPr="00C32A94">
        <w:rPr>
          <w:sz w:val="24"/>
          <w:szCs w:val="24"/>
        </w:rPr>
        <w:t>i każdorazowo będą</w:t>
      </w:r>
      <w:r w:rsidRPr="00C32A94">
        <w:rPr>
          <w:sz w:val="24"/>
          <w:szCs w:val="24"/>
        </w:rPr>
        <w:t xml:space="preserve"> weryfikowane poprzez odpowiednie sprawdzenia prz</w:t>
      </w:r>
      <w:r w:rsidR="000C2B36" w:rsidRPr="00C32A94">
        <w:rPr>
          <w:sz w:val="24"/>
          <w:szCs w:val="24"/>
        </w:rPr>
        <w:t>yswojonej wiedzy i umiejętności</w:t>
      </w:r>
      <w:r w:rsidRPr="00C32A94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C32A94">
        <w:rPr>
          <w:sz w:val="24"/>
          <w:szCs w:val="24"/>
        </w:rPr>
        <w:t xml:space="preserve">projektu </w:t>
      </w:r>
      <w:r w:rsidRPr="00C32A94">
        <w:rPr>
          <w:sz w:val="24"/>
          <w:szCs w:val="24"/>
        </w:rPr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26C8CD4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12B77596" w14:textId="32557A71" w:rsidR="008B01D1" w:rsidRDefault="008B01D1" w:rsidP="00C32A94">
      <w:pPr>
        <w:spacing w:after="0" w:line="276" w:lineRule="auto"/>
      </w:pPr>
    </w:p>
    <w:sectPr w:rsidR="008B01D1" w:rsidSect="00563CEB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4DF36" w16cid:durableId="21335C14"/>
  <w16cid:commentId w16cid:paraId="113F43EA" w16cid:durableId="21335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F47F" w14:textId="77777777" w:rsidR="00EB567D" w:rsidRDefault="00EB567D">
      <w:pPr>
        <w:spacing w:after="0" w:line="240" w:lineRule="auto"/>
      </w:pPr>
      <w:r>
        <w:separator/>
      </w:r>
    </w:p>
  </w:endnote>
  <w:endnote w:type="continuationSeparator" w:id="0">
    <w:p w14:paraId="39273812" w14:textId="77777777" w:rsidR="00EB567D" w:rsidRDefault="00E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1F3">
      <w:rPr>
        <w:noProof/>
      </w:rPr>
      <w:t>2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8D21" w14:textId="77777777" w:rsidR="00EB567D" w:rsidRDefault="00EB567D">
      <w:pPr>
        <w:spacing w:after="0" w:line="240" w:lineRule="auto"/>
      </w:pPr>
      <w:r>
        <w:separator/>
      </w:r>
    </w:p>
  </w:footnote>
  <w:footnote w:type="continuationSeparator" w:id="0">
    <w:p w14:paraId="0A7E48D3" w14:textId="77777777" w:rsidR="00EB567D" w:rsidRDefault="00EB567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  <w:footnote w:id="4">
    <w:p w14:paraId="39C2EC0A" w14:textId="2BB9D6B3" w:rsidR="008D1A0D" w:rsidRDefault="008D1A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66F7" w:rsidRPr="00B701C9">
        <w:rPr>
          <w:sz w:val="16"/>
          <w:szCs w:val="16"/>
        </w:rPr>
        <w:t>l</w:t>
      </w:r>
      <w:r w:rsidRPr="00B701C9">
        <w:rPr>
          <w:sz w:val="16"/>
          <w:szCs w:val="16"/>
        </w:rPr>
        <w:t>ub odpowiednie Rozporządzenie, które będzie obowiązywało na dzień rozpoczęcia realizacji działań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834C" w14:textId="6A21C07A" w:rsidR="00A141F3" w:rsidRPr="00A141F3" w:rsidRDefault="00D156CB" w:rsidP="00A141F3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4"/>
        <w:lang w:eastAsia="en-US"/>
      </w:rPr>
    </w:pPr>
    <w:r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Załącznik nr 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>15 do umowy</w:t>
    </w:r>
    <w:r w:rsidR="001B6E7B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      </w:t>
    </w:r>
  </w:p>
  <w:p w14:paraId="09CECDDC" w14:textId="5AF8AC36" w:rsidR="00F612F8" w:rsidRPr="00F612F8" w:rsidRDefault="00F612F8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25D9D"/>
    <w:rsid w:val="000300A5"/>
    <w:rsid w:val="000773E7"/>
    <w:rsid w:val="000A206B"/>
    <w:rsid w:val="000A7391"/>
    <w:rsid w:val="000B4215"/>
    <w:rsid w:val="000B69D2"/>
    <w:rsid w:val="000C2B36"/>
    <w:rsid w:val="001810D1"/>
    <w:rsid w:val="001A105F"/>
    <w:rsid w:val="001A5065"/>
    <w:rsid w:val="001B6E7B"/>
    <w:rsid w:val="001C3C67"/>
    <w:rsid w:val="001C4C51"/>
    <w:rsid w:val="001D20B4"/>
    <w:rsid w:val="00217EAB"/>
    <w:rsid w:val="00223CC1"/>
    <w:rsid w:val="0023489A"/>
    <w:rsid w:val="00261600"/>
    <w:rsid w:val="00266463"/>
    <w:rsid w:val="00281556"/>
    <w:rsid w:val="0028639B"/>
    <w:rsid w:val="002A5F3B"/>
    <w:rsid w:val="002D63CB"/>
    <w:rsid w:val="002E2F2E"/>
    <w:rsid w:val="00300A84"/>
    <w:rsid w:val="00362CE3"/>
    <w:rsid w:val="003769D0"/>
    <w:rsid w:val="003C6E99"/>
    <w:rsid w:val="004013E7"/>
    <w:rsid w:val="004266F7"/>
    <w:rsid w:val="00455A9D"/>
    <w:rsid w:val="00496AA5"/>
    <w:rsid w:val="004C53DE"/>
    <w:rsid w:val="004D23A8"/>
    <w:rsid w:val="004F1CD8"/>
    <w:rsid w:val="005109CF"/>
    <w:rsid w:val="005175FA"/>
    <w:rsid w:val="00532B41"/>
    <w:rsid w:val="00536C65"/>
    <w:rsid w:val="00551029"/>
    <w:rsid w:val="00563CEB"/>
    <w:rsid w:val="005E09EC"/>
    <w:rsid w:val="005F7539"/>
    <w:rsid w:val="00615FA4"/>
    <w:rsid w:val="00644076"/>
    <w:rsid w:val="00680F97"/>
    <w:rsid w:val="0069123A"/>
    <w:rsid w:val="006D5C4D"/>
    <w:rsid w:val="006E2F37"/>
    <w:rsid w:val="00764DE2"/>
    <w:rsid w:val="0078782D"/>
    <w:rsid w:val="00794E6A"/>
    <w:rsid w:val="00796ED6"/>
    <w:rsid w:val="0086569F"/>
    <w:rsid w:val="008B01D1"/>
    <w:rsid w:val="008C6FF8"/>
    <w:rsid w:val="008D1A0D"/>
    <w:rsid w:val="008D44EB"/>
    <w:rsid w:val="0090304B"/>
    <w:rsid w:val="00980CB8"/>
    <w:rsid w:val="00984139"/>
    <w:rsid w:val="009913ED"/>
    <w:rsid w:val="009C23E9"/>
    <w:rsid w:val="009C5352"/>
    <w:rsid w:val="009F27CD"/>
    <w:rsid w:val="00A00E13"/>
    <w:rsid w:val="00A141F3"/>
    <w:rsid w:val="00A2060F"/>
    <w:rsid w:val="00A523F5"/>
    <w:rsid w:val="00A64864"/>
    <w:rsid w:val="00A8514E"/>
    <w:rsid w:val="00A85625"/>
    <w:rsid w:val="00A872BA"/>
    <w:rsid w:val="00AD3966"/>
    <w:rsid w:val="00AD75CB"/>
    <w:rsid w:val="00B701C9"/>
    <w:rsid w:val="00B75808"/>
    <w:rsid w:val="00B759DF"/>
    <w:rsid w:val="00BC3CF9"/>
    <w:rsid w:val="00BE3C8B"/>
    <w:rsid w:val="00BE3FD7"/>
    <w:rsid w:val="00BF0D37"/>
    <w:rsid w:val="00BF1F63"/>
    <w:rsid w:val="00C32A94"/>
    <w:rsid w:val="00C37821"/>
    <w:rsid w:val="00C63AF1"/>
    <w:rsid w:val="00C7184A"/>
    <w:rsid w:val="00CC4F66"/>
    <w:rsid w:val="00CE786D"/>
    <w:rsid w:val="00CF5EC7"/>
    <w:rsid w:val="00D034C6"/>
    <w:rsid w:val="00D156CB"/>
    <w:rsid w:val="00D21B5B"/>
    <w:rsid w:val="00DB4BE7"/>
    <w:rsid w:val="00DD2A63"/>
    <w:rsid w:val="00DF0B9B"/>
    <w:rsid w:val="00E06097"/>
    <w:rsid w:val="00E4156B"/>
    <w:rsid w:val="00E46C49"/>
    <w:rsid w:val="00E66163"/>
    <w:rsid w:val="00EB567D"/>
    <w:rsid w:val="00ED4E4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C59F-F2D9-4656-ADDB-1B29DBA4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3871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K.Godlewska</cp:lastModifiedBy>
  <cp:revision>9</cp:revision>
  <cp:lastPrinted>2019-09-25T11:24:00Z</cp:lastPrinted>
  <dcterms:created xsi:type="dcterms:W3CDTF">2019-10-25T08:43:00Z</dcterms:created>
  <dcterms:modified xsi:type="dcterms:W3CDTF">2019-10-29T08:21:00Z</dcterms:modified>
</cp:coreProperties>
</file>