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AAA6" w14:textId="77777777" w:rsidR="002E6715" w:rsidRPr="00B57D22" w:rsidRDefault="002E6715">
      <w:pPr>
        <w:rPr>
          <w:sz w:val="24"/>
          <w:szCs w:val="24"/>
        </w:rPr>
      </w:pPr>
    </w:p>
    <w:tbl>
      <w:tblPr>
        <w:tblStyle w:val="Tabela-Siatka"/>
        <w:tblW w:w="13575" w:type="dxa"/>
        <w:tblLook w:val="04A0" w:firstRow="1" w:lastRow="0" w:firstColumn="1" w:lastColumn="0" w:noHBand="0" w:noVBand="1"/>
      </w:tblPr>
      <w:tblGrid>
        <w:gridCol w:w="7054"/>
        <w:gridCol w:w="6521"/>
      </w:tblGrid>
      <w:tr w:rsidR="006E0EF3" w:rsidRPr="00B57D22" w14:paraId="7AB917F8" w14:textId="77777777" w:rsidTr="00133A73">
        <w:tc>
          <w:tcPr>
            <w:tcW w:w="7054" w:type="dxa"/>
            <w:shd w:val="clear" w:color="auto" w:fill="BFBFBF" w:themeFill="background1" w:themeFillShade="BF"/>
            <w:vAlign w:val="center"/>
          </w:tcPr>
          <w:p w14:paraId="0D749F10" w14:textId="77777777" w:rsidR="006E0EF3" w:rsidRPr="00B57D22" w:rsidRDefault="006E0EF3" w:rsidP="006E0EF3">
            <w:pPr>
              <w:spacing w:before="120"/>
              <w:jc w:val="center"/>
              <w:rPr>
                <w:rFonts w:eastAsia="Times New Roman" w:cs="Times New Roman"/>
                <w:b/>
                <w:sz w:val="24"/>
                <w:szCs w:val="24"/>
                <w:lang w:eastAsia="pl-PL"/>
              </w:rPr>
            </w:pPr>
            <w:r w:rsidRPr="00B57D22">
              <w:rPr>
                <w:rFonts w:eastAsia="Times New Roman" w:cs="Times New Roman"/>
                <w:b/>
                <w:sz w:val="24"/>
                <w:szCs w:val="24"/>
                <w:lang w:eastAsia="pl-PL"/>
              </w:rPr>
              <w:t>Pytanie</w:t>
            </w:r>
          </w:p>
        </w:tc>
        <w:tc>
          <w:tcPr>
            <w:tcW w:w="6521" w:type="dxa"/>
            <w:shd w:val="clear" w:color="auto" w:fill="BFBFBF" w:themeFill="background1" w:themeFillShade="BF"/>
            <w:vAlign w:val="center"/>
          </w:tcPr>
          <w:p w14:paraId="4E06ECD9" w14:textId="77777777" w:rsidR="006E0EF3" w:rsidRPr="00B57D22" w:rsidRDefault="006E0EF3" w:rsidP="00356021">
            <w:pPr>
              <w:jc w:val="center"/>
              <w:rPr>
                <w:rFonts w:eastAsia="Times New Roman" w:cs="Times New Roman"/>
                <w:b/>
                <w:bCs/>
                <w:sz w:val="24"/>
                <w:szCs w:val="24"/>
                <w:lang w:eastAsia="pl-PL"/>
              </w:rPr>
            </w:pPr>
            <w:r w:rsidRPr="00B57D22">
              <w:rPr>
                <w:rFonts w:eastAsia="Times New Roman" w:cs="Times New Roman"/>
                <w:b/>
                <w:bCs/>
                <w:sz w:val="24"/>
                <w:szCs w:val="24"/>
                <w:lang w:eastAsia="pl-PL"/>
              </w:rPr>
              <w:t>Odpowied</w:t>
            </w:r>
            <w:r w:rsidR="00356021">
              <w:rPr>
                <w:rFonts w:eastAsia="Times New Roman" w:cs="Times New Roman"/>
                <w:b/>
                <w:bCs/>
                <w:sz w:val="24"/>
                <w:szCs w:val="24"/>
                <w:lang w:eastAsia="pl-PL"/>
              </w:rPr>
              <w:t>ź</w:t>
            </w:r>
          </w:p>
        </w:tc>
      </w:tr>
      <w:tr w:rsidR="003334EB" w:rsidRPr="00B57D22" w14:paraId="3AC1D565" w14:textId="77777777" w:rsidTr="007935FB">
        <w:tc>
          <w:tcPr>
            <w:tcW w:w="7054" w:type="dxa"/>
          </w:tcPr>
          <w:p w14:paraId="29D98ED0" w14:textId="77777777" w:rsidR="003334EB" w:rsidRPr="00B57D22" w:rsidRDefault="003334EB" w:rsidP="003334EB">
            <w:pPr>
              <w:spacing w:before="120"/>
              <w:jc w:val="both"/>
              <w:rPr>
                <w:rFonts w:eastAsia="Times New Roman" w:cs="Times New Roman"/>
                <w:sz w:val="24"/>
                <w:szCs w:val="24"/>
                <w:lang w:eastAsia="pl-PL"/>
              </w:rPr>
            </w:pPr>
            <w:r w:rsidRPr="00B57D22">
              <w:rPr>
                <w:rFonts w:eastAsia="Times New Roman" w:cs="Times New Roman"/>
                <w:b/>
                <w:sz w:val="24"/>
                <w:szCs w:val="24"/>
                <w:lang w:eastAsia="pl-PL"/>
              </w:rPr>
              <w:t>1.</w:t>
            </w:r>
            <w:r w:rsidRPr="00B57D22">
              <w:rPr>
                <w:rFonts w:eastAsia="Times New Roman" w:cs="Times New Roman"/>
                <w:sz w:val="24"/>
                <w:szCs w:val="24"/>
                <w:lang w:eastAsia="pl-PL"/>
              </w:rPr>
              <w:t xml:space="preserve"> Regulamin projektu traktuje, że „</w:t>
            </w:r>
            <w:r w:rsidRPr="00B57D22">
              <w:rPr>
                <w:rFonts w:eastAsia="Times New Roman" w:cs="Times New Roman"/>
                <w:i/>
                <w:iCs/>
                <w:sz w:val="24"/>
                <w:szCs w:val="24"/>
                <w:lang w:eastAsia="pl-PL"/>
              </w:rPr>
              <w:t>efektem szkolenia będzie uzyskanie kwalifikacji lub nabycie kompetencji potwierdzonych odpowiednim dokumentem (np. certyfikatem), w rozumieniu Wytycznych Ministra Infrastruktury i Rozwoju w zakresie monitorowania postępu rzeczowego realizacji programów operacyjnych na lata 2014-2020. Uzyskanie kwalifikacji lub kompetencji jest każdorazowo weryfikowane poprzez przeprowadzenie odpowiedniego ich sprawdzenia (np. w formie egzaminu)</w:t>
            </w:r>
            <w:r w:rsidRPr="00B57D22">
              <w:rPr>
                <w:rFonts w:eastAsia="Times New Roman" w:cs="Times New Roman"/>
                <w:sz w:val="24"/>
                <w:szCs w:val="24"/>
                <w:lang w:eastAsia="pl-PL"/>
              </w:rPr>
              <w:t xml:space="preserve">.” Czy w związku z powyższym można założyć, że część uczestników np. 70% zostanie objętych kursami zawodowymi, kończącymi się uzyskaniem kwalifikacji, a 30% kursami zawodowymi kończącymi się uzyskaniem kompetencji (jak np. specjalista ds. zarządzania zasobami ludzkimi)? </w:t>
            </w:r>
          </w:p>
          <w:p w14:paraId="1A489602" w14:textId="77777777" w:rsidR="003334EB" w:rsidRPr="00B57D22" w:rsidRDefault="003334EB" w:rsidP="003334EB">
            <w:pPr>
              <w:spacing w:before="120"/>
              <w:jc w:val="both"/>
              <w:rPr>
                <w:rFonts w:eastAsia="Times New Roman" w:cs="Times New Roman"/>
                <w:b/>
                <w:sz w:val="24"/>
                <w:szCs w:val="24"/>
                <w:lang w:eastAsia="pl-PL"/>
              </w:rPr>
            </w:pPr>
            <w:r w:rsidRPr="00B57D22">
              <w:rPr>
                <w:rFonts w:eastAsia="Times New Roman" w:cs="Times New Roman"/>
                <w:sz w:val="24"/>
                <w:szCs w:val="24"/>
                <w:lang w:eastAsia="pl-PL"/>
              </w:rPr>
              <w:t>Oczywiście mowa tutaj o kursach zawodowych, a nie szkoleniach miękkich, które z definicji nie są związane z konkretnym zawodem (np. zarządzanie czasem, asertywność, czy umiejętności interpersonalne). Dokumentacja konkursu w żadnym miejscu nie wskazuje obowiązku objęcia wszystkich uczestników kursami kończącymi się uzyskaniem kwalifikacji, jeśli natomiast taki zapis został przez nas przeoczony, prosimy o jego wskazanie.  </w:t>
            </w:r>
          </w:p>
        </w:tc>
        <w:tc>
          <w:tcPr>
            <w:tcW w:w="6521" w:type="dxa"/>
          </w:tcPr>
          <w:p w14:paraId="6DAF9966" w14:textId="77777777" w:rsidR="003334EB" w:rsidRPr="00B57D22" w:rsidRDefault="003334EB" w:rsidP="003334EB">
            <w:pPr>
              <w:jc w:val="both"/>
              <w:rPr>
                <w:rFonts w:eastAsia="Times New Roman" w:cs="Times New Roman"/>
                <w:bCs/>
                <w:sz w:val="24"/>
                <w:szCs w:val="24"/>
                <w:lang w:eastAsia="pl-PL"/>
              </w:rPr>
            </w:pPr>
            <w:r w:rsidRPr="00B57D22">
              <w:rPr>
                <w:rFonts w:eastAsia="Times New Roman" w:cs="Times New Roman"/>
                <w:b/>
                <w:bCs/>
                <w:sz w:val="24"/>
                <w:szCs w:val="24"/>
                <w:lang w:eastAsia="pl-PL"/>
              </w:rPr>
              <w:t>1.</w:t>
            </w:r>
            <w:r w:rsidRPr="00B57D22">
              <w:rPr>
                <w:rFonts w:eastAsia="Times New Roman" w:cs="Times New Roman"/>
                <w:bCs/>
                <w:sz w:val="24"/>
                <w:szCs w:val="24"/>
                <w:lang w:eastAsia="pl-PL"/>
              </w:rPr>
              <w:t xml:space="preserve"> Na podstawie zapisu w Regulaminie konkursu ogłoszonego </w:t>
            </w:r>
            <w:r w:rsidRPr="00B57D22">
              <w:rPr>
                <w:rFonts w:eastAsia="Times New Roman" w:cs="Times New Roman"/>
                <w:bCs/>
                <w:sz w:val="24"/>
                <w:szCs w:val="24"/>
                <w:lang w:eastAsia="pl-PL"/>
              </w:rPr>
              <w:br/>
              <w:t>w ramach Działania 7.2 Regionalnego Programu Operacyjnego Województwa Opolskiego 2014-2020:</w:t>
            </w:r>
          </w:p>
          <w:p w14:paraId="049CD39F" w14:textId="77777777" w:rsidR="003334EB" w:rsidRPr="00B57D22" w:rsidRDefault="003334EB" w:rsidP="003334EB">
            <w:pPr>
              <w:spacing w:before="120"/>
              <w:jc w:val="both"/>
              <w:rPr>
                <w:rFonts w:eastAsia="Times New Roman" w:cs="Times New Roman"/>
                <w:bCs/>
                <w:sz w:val="24"/>
                <w:szCs w:val="24"/>
                <w:lang w:eastAsia="pl-PL"/>
              </w:rPr>
            </w:pPr>
            <w:r w:rsidRPr="00B57D22">
              <w:rPr>
                <w:rFonts w:eastAsia="Times New Roman" w:cs="Times New Roman"/>
                <w:b/>
                <w:bCs/>
                <w:i/>
                <w:iCs/>
                <w:sz w:val="24"/>
                <w:szCs w:val="24"/>
                <w:lang w:eastAsia="pl-PL"/>
              </w:rPr>
              <w:t xml:space="preserve">Kwalifikacja </w:t>
            </w:r>
            <w:r w:rsidRPr="00B57D22">
              <w:rPr>
                <w:rFonts w:eastAsia="Times New Roman" w:cs="Times New Roman"/>
                <w:bCs/>
                <w:i/>
                <w:iCs/>
                <w:sz w:val="24"/>
                <w:szCs w:val="24"/>
                <w:lang w:eastAsia="pl-PL"/>
              </w:rPr>
              <w:t xml:space="preserve">- to określony zestaw efektów uczenia się </w:t>
            </w:r>
            <w:r w:rsidRPr="00B57D22">
              <w:rPr>
                <w:rFonts w:eastAsia="Times New Roman" w:cs="Times New Roman"/>
                <w:bCs/>
                <w:i/>
                <w:iCs/>
                <w:sz w:val="24"/>
                <w:szCs w:val="24"/>
                <w:lang w:eastAsia="pl-PL"/>
              </w:rPr>
              <w:br/>
              <w:t>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instytucję uprawnioną do certyfikowania. Kwalifikacje mają charakter formalny, ponieważ sprawdzane są na podstawie uzyskanych dyplomów, certyfikatów, odbytego stażu pracy. Dodatkowo, indywidualne podejście właściwości danej osoby powodują, iż zdobyta wiedza może być skutecznie wykorzystywana.</w:t>
            </w:r>
          </w:p>
          <w:p w14:paraId="0F6F2E17" w14:textId="77777777" w:rsidR="003334EB" w:rsidRPr="00B57D22" w:rsidRDefault="003334EB" w:rsidP="003334EB">
            <w:pPr>
              <w:spacing w:before="120"/>
              <w:jc w:val="both"/>
              <w:rPr>
                <w:rFonts w:eastAsia="Times New Roman" w:cs="Times New Roman"/>
                <w:sz w:val="24"/>
                <w:szCs w:val="24"/>
                <w:lang w:eastAsia="pl-PL"/>
              </w:rPr>
            </w:pPr>
            <w:r w:rsidRPr="00B57D22">
              <w:rPr>
                <w:rFonts w:eastAsia="Times New Roman" w:cs="Times New Roman"/>
                <w:bCs/>
                <w:sz w:val="24"/>
                <w:szCs w:val="24"/>
                <w:lang w:eastAsia="pl-PL"/>
              </w:rPr>
              <w:t xml:space="preserve">Należy mieć na uwadze, iż uzyskanie kwalifikacji zawodowych warunkuje otrzymanie uprawnień do realizowania zadań </w:t>
            </w:r>
            <w:r w:rsidRPr="00B57D22">
              <w:rPr>
                <w:rFonts w:eastAsia="Times New Roman" w:cs="Times New Roman"/>
                <w:bCs/>
                <w:sz w:val="24"/>
                <w:szCs w:val="24"/>
                <w:lang w:eastAsia="pl-PL"/>
              </w:rPr>
              <w:br/>
              <w:t>w konkretnym zawodzie. Uprawnienia te określa się mianem</w:t>
            </w:r>
            <w:r w:rsidRPr="00B57D22">
              <w:rPr>
                <w:rFonts w:eastAsia="Times New Roman" w:cs="Times New Roman"/>
                <w:b/>
                <w:bCs/>
                <w:sz w:val="24"/>
                <w:szCs w:val="24"/>
                <w:lang w:eastAsia="pl-PL"/>
              </w:rPr>
              <w:t xml:space="preserve"> kompetencji</w:t>
            </w:r>
            <w:r w:rsidRPr="00B57D22">
              <w:rPr>
                <w:rFonts w:eastAsia="Times New Roman" w:cs="Times New Roman"/>
                <w:bCs/>
                <w:sz w:val="24"/>
                <w:szCs w:val="24"/>
                <w:lang w:eastAsia="pl-PL"/>
              </w:rPr>
              <w:t>, które m</w:t>
            </w:r>
            <w:r w:rsidRPr="00B57D22">
              <w:rPr>
                <w:rFonts w:eastAsia="Times New Roman" w:cs="Times New Roman"/>
                <w:sz w:val="24"/>
                <w:szCs w:val="24"/>
                <w:lang w:eastAsia="pl-PL"/>
              </w:rPr>
              <w:t xml:space="preserve">ają  bardziej praktyczny charakter. </w:t>
            </w:r>
            <w:r w:rsidRPr="00B57D22">
              <w:rPr>
                <w:rFonts w:eastAsia="Times New Roman" w:cs="Times New Roman"/>
                <w:sz w:val="24"/>
                <w:szCs w:val="24"/>
                <w:u w:val="single"/>
                <w:lang w:eastAsia="pl-PL"/>
              </w:rPr>
              <w:t xml:space="preserve">Kursy podnoszące </w:t>
            </w:r>
            <w:r w:rsidRPr="00B57D22">
              <w:rPr>
                <w:rFonts w:eastAsia="Times New Roman" w:cs="Times New Roman"/>
                <w:b/>
                <w:bCs/>
                <w:sz w:val="24"/>
                <w:szCs w:val="24"/>
                <w:u w:val="single"/>
                <w:lang w:eastAsia="pl-PL"/>
              </w:rPr>
              <w:t>kompetencje</w:t>
            </w:r>
            <w:r w:rsidRPr="00B57D22">
              <w:rPr>
                <w:rFonts w:eastAsia="Times New Roman" w:cs="Times New Roman"/>
                <w:sz w:val="24"/>
                <w:szCs w:val="24"/>
                <w:lang w:eastAsia="pl-PL"/>
              </w:rPr>
              <w:t xml:space="preserve"> zawodowe mają na celu zdobycie dodatkowych umiejętności, podniesienie swoich kwalifikacji </w:t>
            </w:r>
            <w:r w:rsidRPr="00B57D22">
              <w:rPr>
                <w:rFonts w:eastAsia="Times New Roman" w:cs="Times New Roman"/>
                <w:sz w:val="24"/>
                <w:szCs w:val="24"/>
                <w:lang w:eastAsia="pl-PL"/>
              </w:rPr>
              <w:br/>
              <w:t xml:space="preserve">i rozwój zawodowy. Kompetencje tzw. miękkie to kompetencje społeczne czy też zdolności i właściwości interpersonalne, np. takie jak łatwe podejmowanie współpracy, komunikatywność, elastyczność, umiejętność podejmowania mediacji. Kwalifikacje </w:t>
            </w:r>
            <w:r w:rsidR="00B57D22">
              <w:rPr>
                <w:rFonts w:eastAsia="Times New Roman" w:cs="Times New Roman"/>
                <w:sz w:val="24"/>
                <w:szCs w:val="24"/>
                <w:lang w:eastAsia="pl-PL"/>
              </w:rPr>
              <w:br/>
            </w:r>
            <w:r w:rsidRPr="00B57D22">
              <w:rPr>
                <w:rFonts w:eastAsia="Times New Roman" w:cs="Times New Roman"/>
                <w:sz w:val="24"/>
                <w:szCs w:val="24"/>
                <w:lang w:eastAsia="pl-PL"/>
              </w:rPr>
              <w:t>i kompetencje łączą się ściśle ze sobą. Aby posiadać pewne kompetencje trzeba zdobyć odpowiednie kwalifikacje, natomiast proces zdobywania kwalifikacji ma wpływ na wzrost</w:t>
            </w:r>
            <w:r w:rsidR="000538B6" w:rsidRPr="00B57D22">
              <w:rPr>
                <w:rFonts w:eastAsia="Times New Roman" w:cs="Times New Roman"/>
                <w:sz w:val="24"/>
                <w:szCs w:val="24"/>
                <w:lang w:eastAsia="pl-PL"/>
              </w:rPr>
              <w:t xml:space="preserve"> </w:t>
            </w:r>
            <w:r w:rsidRPr="00B57D22">
              <w:rPr>
                <w:rFonts w:eastAsia="Times New Roman" w:cs="Times New Roman"/>
                <w:sz w:val="24"/>
                <w:szCs w:val="24"/>
                <w:lang w:eastAsia="pl-PL"/>
              </w:rPr>
              <w:t xml:space="preserve">kompetencji. </w:t>
            </w:r>
          </w:p>
          <w:p w14:paraId="3747EC17" w14:textId="77777777" w:rsidR="003334EB" w:rsidRPr="00B57D22" w:rsidRDefault="003334EB" w:rsidP="003334EB">
            <w:pPr>
              <w:spacing w:before="120"/>
              <w:jc w:val="both"/>
              <w:rPr>
                <w:rFonts w:eastAsia="Times New Roman" w:cs="Times New Roman"/>
                <w:sz w:val="24"/>
                <w:szCs w:val="24"/>
                <w:lang w:eastAsia="pl-PL"/>
              </w:rPr>
            </w:pPr>
            <w:r w:rsidRPr="00B57D22">
              <w:rPr>
                <w:rFonts w:eastAsia="Times New Roman" w:cs="Times New Roman"/>
                <w:sz w:val="24"/>
                <w:szCs w:val="24"/>
                <w:lang w:eastAsia="pl-PL"/>
              </w:rPr>
              <w:t xml:space="preserve">Planując wniosek o dofinansowanie projektu Wnioskodawca jest zobowiązany do przeprowadzenia szczegółowej analizy potrzeb, predyspozycji i oczekiwań grupy docelowej pod kątem szkoleń, </w:t>
            </w:r>
            <w:r w:rsidRPr="00B57D22">
              <w:rPr>
                <w:rFonts w:eastAsia="Times New Roman" w:cs="Times New Roman"/>
                <w:sz w:val="24"/>
                <w:szCs w:val="24"/>
                <w:lang w:eastAsia="pl-PL"/>
              </w:rPr>
              <w:lastRenderedPageBreak/>
              <w:t xml:space="preserve">których efektem jest uzyskanie kwalifikacji lub nabycie kompetencji. </w:t>
            </w:r>
            <w:r w:rsidRPr="00B57D22">
              <w:rPr>
                <w:rFonts w:eastAsia="Times New Roman" w:cs="Times New Roman"/>
                <w:b/>
                <w:sz w:val="24"/>
                <w:szCs w:val="24"/>
                <w:lang w:eastAsia="pl-PL"/>
              </w:rPr>
              <w:t>Na podstawie wniosków z dokonanej analizy Beneficjent ma możliwość skierowania wsparcia do dwóch zróżnicowanych ilościowo grup uczestników projektu, wyodrębnionych ze względu na uzyskane kwalifikacje lub kompetencje.</w:t>
            </w:r>
            <w:r w:rsidRPr="00B57D22">
              <w:rPr>
                <w:rFonts w:eastAsia="Times New Roman" w:cs="Times New Roman"/>
                <w:sz w:val="24"/>
                <w:szCs w:val="24"/>
                <w:lang w:eastAsia="pl-PL"/>
              </w:rPr>
              <w:t xml:space="preserve"> </w:t>
            </w:r>
          </w:p>
          <w:p w14:paraId="5D390FFC" w14:textId="77777777" w:rsidR="003334EB" w:rsidRDefault="003334EB" w:rsidP="003334EB">
            <w:pPr>
              <w:spacing w:before="120"/>
              <w:jc w:val="both"/>
              <w:rPr>
                <w:rFonts w:cs="Times New Roman"/>
                <w:sz w:val="24"/>
                <w:szCs w:val="24"/>
              </w:rPr>
            </w:pPr>
            <w:r w:rsidRPr="00B57D22">
              <w:rPr>
                <w:rFonts w:eastAsia="Times New Roman" w:cs="Times New Roman"/>
                <w:sz w:val="24"/>
                <w:szCs w:val="24"/>
                <w:lang w:eastAsia="pl-PL"/>
              </w:rPr>
              <w:t xml:space="preserve">W związku z powyższym, zgodnie z potrzebami szkoleniowymi na etapie  planowanego projektu </w:t>
            </w:r>
            <w:r w:rsidRPr="00B57D22">
              <w:rPr>
                <w:rFonts w:cs="Times New Roman"/>
                <w:sz w:val="24"/>
                <w:szCs w:val="24"/>
              </w:rPr>
              <w:t xml:space="preserve">część uczestników np. 70% może zostać  objętych kursami zawodowymi, kończącymi się uzyskaniem kwalifikacji, a 30% kursami zawodowymi kończącymi się uzyskaniem kompetencji. </w:t>
            </w:r>
          </w:p>
          <w:p w14:paraId="71272A62" w14:textId="77777777" w:rsidR="00D336D1" w:rsidRPr="00AB309F" w:rsidRDefault="00D336D1" w:rsidP="00D336D1">
            <w:pPr>
              <w:jc w:val="both"/>
              <w:rPr>
                <w:sz w:val="24"/>
                <w:szCs w:val="24"/>
              </w:rPr>
            </w:pPr>
            <w:r w:rsidRPr="00AB309F">
              <w:rPr>
                <w:sz w:val="24"/>
                <w:szCs w:val="24"/>
              </w:rPr>
              <w:t xml:space="preserve">Należy jednakże pamiętać, iż konieczne jest spełnienie wskaźnika obligatoryjnego </w:t>
            </w:r>
            <w:r w:rsidRPr="00AB309F">
              <w:rPr>
                <w:i/>
                <w:sz w:val="24"/>
                <w:szCs w:val="24"/>
              </w:rPr>
              <w:t>Liczba osób, które uzyskały kwalifikacje po opuszczeniu programu</w:t>
            </w:r>
            <w:r w:rsidRPr="00AB309F">
              <w:rPr>
                <w:sz w:val="24"/>
                <w:szCs w:val="24"/>
              </w:rPr>
              <w:t xml:space="preserve"> na poziomie min. 30% osób bezrobotnych i/lub biernych zawodowo objętych wsparciem w projekcie.  </w:t>
            </w:r>
          </w:p>
          <w:p w14:paraId="0691EAC4" w14:textId="77777777" w:rsidR="00D336D1" w:rsidRPr="00AB309F" w:rsidRDefault="00D336D1" w:rsidP="00D336D1">
            <w:pPr>
              <w:jc w:val="both"/>
              <w:rPr>
                <w:sz w:val="24"/>
                <w:szCs w:val="24"/>
              </w:rPr>
            </w:pPr>
            <w:r w:rsidRPr="00AB309F">
              <w:rPr>
                <w:sz w:val="24"/>
                <w:szCs w:val="24"/>
              </w:rPr>
              <w:t xml:space="preserve">Co oznacza, że co najmniej 30% grupy docelowej musi zakończyć </w:t>
            </w:r>
          </w:p>
          <w:p w14:paraId="26E809BE" w14:textId="77777777" w:rsidR="00D336D1" w:rsidRPr="00AB309F" w:rsidRDefault="00D336D1" w:rsidP="00D336D1">
            <w:pPr>
              <w:spacing w:before="120"/>
              <w:jc w:val="both"/>
              <w:rPr>
                <w:rFonts w:cs="Times New Roman"/>
                <w:sz w:val="24"/>
                <w:szCs w:val="24"/>
              </w:rPr>
            </w:pPr>
            <w:r w:rsidRPr="00AB309F">
              <w:rPr>
                <w:sz w:val="24"/>
                <w:szCs w:val="24"/>
              </w:rPr>
              <w:t>szkolenia uzyskaniem kwalifikacji, których osiągnięcie zostało sprawdzone w walidacji oraz formalnie potwierdzone przez instytucję uprawnioną do certyfikowania.</w:t>
            </w:r>
          </w:p>
          <w:p w14:paraId="2ECA7BC4" w14:textId="77777777" w:rsidR="003334EB" w:rsidRPr="00B57D22" w:rsidRDefault="003334EB" w:rsidP="003334EB">
            <w:pPr>
              <w:spacing w:before="120"/>
              <w:jc w:val="both"/>
              <w:rPr>
                <w:rFonts w:cs="Times New Roman"/>
                <w:sz w:val="24"/>
                <w:szCs w:val="24"/>
              </w:rPr>
            </w:pPr>
            <w:r w:rsidRPr="00B57D22">
              <w:rPr>
                <w:rFonts w:cs="Times New Roman"/>
                <w:sz w:val="24"/>
                <w:szCs w:val="24"/>
              </w:rPr>
              <w:t xml:space="preserve">Zasadność w zakresie podziału grupy docelowej ze względu na formę udzielanego wsparcia zostanie oceniona na etapie oceny merytorycznej. </w:t>
            </w:r>
          </w:p>
          <w:p w14:paraId="28FADB75" w14:textId="77777777" w:rsidR="003334EB" w:rsidRPr="00B57D22" w:rsidRDefault="003334EB" w:rsidP="003334EB">
            <w:pPr>
              <w:spacing w:before="120"/>
              <w:jc w:val="both"/>
              <w:rPr>
                <w:rFonts w:eastAsia="Times New Roman" w:cs="Times New Roman"/>
                <w:sz w:val="24"/>
                <w:szCs w:val="24"/>
                <w:lang w:eastAsia="pl-PL"/>
              </w:rPr>
            </w:pPr>
            <w:r w:rsidRPr="00B57D22">
              <w:rPr>
                <w:rFonts w:eastAsia="Times New Roman" w:cs="Times New Roman"/>
                <w:sz w:val="24"/>
                <w:szCs w:val="24"/>
                <w:lang w:eastAsia="pl-PL"/>
              </w:rPr>
              <w:t xml:space="preserve">Uzyskanie kwalifikacji lub kompetencji powinno być każdorazowo weryfikowane (np. w formie egzaminu). </w:t>
            </w:r>
          </w:p>
        </w:tc>
      </w:tr>
      <w:tr w:rsidR="007935FB" w:rsidRPr="00B57D22" w14:paraId="303ED583" w14:textId="77777777" w:rsidTr="007935FB">
        <w:tc>
          <w:tcPr>
            <w:tcW w:w="7054" w:type="dxa"/>
          </w:tcPr>
          <w:p w14:paraId="39245EE1" w14:textId="77777777" w:rsidR="00ED15EC" w:rsidRPr="008134CF" w:rsidRDefault="00243224" w:rsidP="008134CF">
            <w:pPr>
              <w:shd w:val="clear" w:color="auto" w:fill="FFFFFF"/>
              <w:spacing w:before="120" w:after="160" w:line="259" w:lineRule="auto"/>
              <w:contextualSpacing/>
              <w:jc w:val="both"/>
              <w:rPr>
                <w:rFonts w:eastAsia="Times New Roman" w:cs="Times New Roman"/>
                <w:sz w:val="24"/>
                <w:szCs w:val="24"/>
                <w:lang w:eastAsia="pl-PL"/>
              </w:rPr>
            </w:pPr>
            <w:r>
              <w:rPr>
                <w:rFonts w:eastAsia="Times New Roman" w:cs="Arial"/>
                <w:b/>
                <w:bCs/>
                <w:color w:val="222222"/>
                <w:sz w:val="24"/>
                <w:szCs w:val="24"/>
                <w:lang w:eastAsia="pl-PL"/>
              </w:rPr>
              <w:lastRenderedPageBreak/>
              <w:t>2</w:t>
            </w:r>
            <w:r w:rsidR="00C7437F" w:rsidRPr="008134CF">
              <w:rPr>
                <w:rFonts w:eastAsia="Times New Roman" w:cs="Arial"/>
                <w:b/>
                <w:bCs/>
                <w:color w:val="222222"/>
                <w:sz w:val="24"/>
                <w:szCs w:val="24"/>
                <w:lang w:eastAsia="pl-PL"/>
              </w:rPr>
              <w:t>.  </w:t>
            </w:r>
            <w:r w:rsidR="00C7437F" w:rsidRPr="008134CF">
              <w:rPr>
                <w:rFonts w:eastAsia="Times New Roman" w:cs="Arial"/>
                <w:color w:val="222222"/>
                <w:sz w:val="24"/>
                <w:szCs w:val="24"/>
                <w:lang w:eastAsia="pl-PL"/>
              </w:rPr>
              <w:t>Zgodnie z brzmieniem kryterium merytorycznego szczegółowego nr 6  "(...) </w:t>
            </w:r>
            <w:r w:rsidR="00C7437F" w:rsidRPr="008134CF">
              <w:rPr>
                <w:rFonts w:eastAsia="Times New Roman" w:cs="Arial"/>
                <w:iCs/>
                <w:sz w:val="24"/>
                <w:szCs w:val="24"/>
                <w:lang w:eastAsia="pl-PL"/>
              </w:rPr>
              <w:t xml:space="preserve">Efektem szkolenia jest uzyskanie kwalifikacji lub nabycie kompetencji potwierdzonych odpowiednim dokumentem (np. certyfikatem), w rozumieniu Wytycznych Ministra Infrastruktury </w:t>
            </w:r>
            <w:r w:rsidR="00C7437F" w:rsidRPr="008134CF">
              <w:rPr>
                <w:rFonts w:eastAsia="Times New Roman" w:cs="Arial"/>
                <w:iCs/>
                <w:sz w:val="24"/>
                <w:szCs w:val="24"/>
                <w:lang w:eastAsia="pl-PL"/>
              </w:rPr>
              <w:br/>
              <w:t>i Rozwoju w zakresie monitorowania postępu rzeczowego realizacji programów operacyjnych na lata 2014-2020. </w:t>
            </w:r>
          </w:p>
          <w:p w14:paraId="4358B9C0" w14:textId="77777777" w:rsidR="00ED15EC" w:rsidRPr="008134CF" w:rsidRDefault="00C7437F" w:rsidP="008134CF">
            <w:pPr>
              <w:shd w:val="clear" w:color="auto" w:fill="FFFFFF"/>
              <w:spacing w:before="120" w:after="160" w:line="259" w:lineRule="auto"/>
              <w:contextualSpacing/>
              <w:jc w:val="both"/>
              <w:rPr>
                <w:rFonts w:eastAsia="Times New Roman" w:cs="Times New Roman"/>
                <w:sz w:val="24"/>
                <w:szCs w:val="24"/>
                <w:lang w:eastAsia="pl-PL"/>
              </w:rPr>
            </w:pPr>
            <w:r w:rsidRPr="008134CF">
              <w:rPr>
                <w:rFonts w:eastAsia="Times New Roman" w:cs="Arial"/>
                <w:iCs/>
                <w:sz w:val="24"/>
                <w:szCs w:val="24"/>
                <w:lang w:eastAsia="pl-PL"/>
              </w:rPr>
              <w:t>Uzyskanie kwalifikacji lub kompetencji jest </w:t>
            </w:r>
            <w:r w:rsidRPr="008134CF">
              <w:rPr>
                <w:rFonts w:eastAsia="Times New Roman" w:cs="Times New Roman"/>
                <w:iCs/>
                <w:color w:val="222222"/>
                <w:sz w:val="24"/>
                <w:szCs w:val="24"/>
                <w:lang w:eastAsia="pl-PL"/>
              </w:rPr>
              <w:t>każdorazowo weryfikowane poprzez przeprowadzenie odpowiedniego ich sprawdzenia (np. w formie egzaminu)."</w:t>
            </w:r>
          </w:p>
          <w:p w14:paraId="3DDAD6B0" w14:textId="77777777" w:rsidR="00ED15EC" w:rsidRPr="008134CF" w:rsidRDefault="00C7437F" w:rsidP="008134CF">
            <w:pPr>
              <w:shd w:val="clear" w:color="auto" w:fill="FFFFFF"/>
              <w:spacing w:before="120" w:after="160" w:line="259" w:lineRule="auto"/>
              <w:contextualSpacing/>
              <w:jc w:val="both"/>
              <w:rPr>
                <w:rFonts w:eastAsia="Times New Roman" w:cs="Times New Roman"/>
                <w:sz w:val="24"/>
                <w:szCs w:val="24"/>
                <w:lang w:eastAsia="pl-PL"/>
              </w:rPr>
            </w:pPr>
            <w:r w:rsidRPr="008134CF">
              <w:rPr>
                <w:rFonts w:eastAsia="Times New Roman" w:cs="Times New Roman"/>
                <w:color w:val="222222"/>
                <w:sz w:val="24"/>
                <w:szCs w:val="24"/>
                <w:lang w:eastAsia="pl-PL"/>
              </w:rPr>
              <w:lastRenderedPageBreak/>
              <w:t>Mając na uwadze powyższe proszę o informację czy zapisy powyższego kryterium odnoszą się także do Warsztatów Aktywizacji Zawodowej zakładających nabycie przez uczestników projektu kompetencji "miękkich" (społecznych) w zakresie:</w:t>
            </w:r>
          </w:p>
          <w:p w14:paraId="0F6AF2E9" w14:textId="77777777" w:rsidR="006E0EF3" w:rsidRPr="008134CF" w:rsidRDefault="00C7437F" w:rsidP="006E0EF3">
            <w:pPr>
              <w:pStyle w:val="Akapitzlist"/>
              <w:numPr>
                <w:ilvl w:val="0"/>
                <w:numId w:val="3"/>
              </w:numPr>
              <w:shd w:val="clear" w:color="auto" w:fill="FFFFFF"/>
              <w:spacing w:before="120" w:after="160" w:line="259" w:lineRule="auto"/>
              <w:ind w:left="426" w:hanging="66"/>
              <w:jc w:val="both"/>
              <w:rPr>
                <w:rFonts w:eastAsia="Times New Roman" w:cs="Arial"/>
                <w:color w:val="222222"/>
                <w:sz w:val="24"/>
                <w:szCs w:val="24"/>
                <w:lang w:eastAsia="pl-PL"/>
              </w:rPr>
            </w:pPr>
            <w:r w:rsidRPr="008134CF">
              <w:rPr>
                <w:rFonts w:eastAsia="Times New Roman" w:cs="Arial"/>
                <w:color w:val="222222"/>
                <w:sz w:val="24"/>
                <w:szCs w:val="24"/>
                <w:lang w:eastAsia="pl-PL"/>
              </w:rPr>
              <w:t>autoprezentacja podczas rozmowy kwalifikacyjnej,</w:t>
            </w:r>
          </w:p>
          <w:p w14:paraId="14F58760" w14:textId="77777777" w:rsidR="00ED15EC" w:rsidRPr="008134CF" w:rsidRDefault="00C7437F" w:rsidP="006E0EF3">
            <w:pPr>
              <w:pStyle w:val="Akapitzlist"/>
              <w:numPr>
                <w:ilvl w:val="0"/>
                <w:numId w:val="3"/>
              </w:numPr>
              <w:shd w:val="clear" w:color="auto" w:fill="FFFFFF"/>
              <w:spacing w:before="120" w:after="160" w:line="259" w:lineRule="auto"/>
              <w:ind w:left="426" w:hanging="66"/>
              <w:jc w:val="both"/>
              <w:rPr>
                <w:rFonts w:eastAsia="Times New Roman" w:cs="Times New Roman"/>
                <w:sz w:val="24"/>
                <w:szCs w:val="24"/>
                <w:lang w:eastAsia="pl-PL"/>
              </w:rPr>
            </w:pPr>
            <w:r w:rsidRPr="008134CF">
              <w:rPr>
                <w:rFonts w:eastAsia="Times New Roman" w:cs="Arial"/>
                <w:color w:val="222222"/>
                <w:sz w:val="24"/>
                <w:szCs w:val="24"/>
                <w:lang w:eastAsia="pl-PL"/>
              </w:rPr>
              <w:t>radzenie sobie ze stresem podczas rozmowy kwalifikacyjnej,</w:t>
            </w:r>
          </w:p>
          <w:p w14:paraId="2A57203A" w14:textId="77777777" w:rsidR="00ED15EC" w:rsidRPr="008134CF" w:rsidRDefault="00C7437F" w:rsidP="006E0EF3">
            <w:pPr>
              <w:pStyle w:val="Akapitzlist"/>
              <w:numPr>
                <w:ilvl w:val="0"/>
                <w:numId w:val="3"/>
              </w:numPr>
              <w:shd w:val="clear" w:color="auto" w:fill="FFFFFF"/>
              <w:spacing w:before="120" w:after="160" w:line="259" w:lineRule="auto"/>
              <w:ind w:left="426" w:hanging="66"/>
              <w:jc w:val="both"/>
              <w:rPr>
                <w:rFonts w:eastAsia="Times New Roman" w:cs="Times New Roman"/>
                <w:sz w:val="24"/>
                <w:szCs w:val="24"/>
                <w:lang w:eastAsia="pl-PL"/>
              </w:rPr>
            </w:pPr>
            <w:r w:rsidRPr="008134CF">
              <w:rPr>
                <w:rFonts w:eastAsia="Times New Roman" w:cs="Arial"/>
                <w:color w:val="222222"/>
                <w:sz w:val="24"/>
                <w:szCs w:val="24"/>
                <w:lang w:eastAsia="pl-PL"/>
              </w:rPr>
              <w:t>aktywne formy poszukiwania zatrudnienia,</w:t>
            </w:r>
          </w:p>
          <w:p w14:paraId="6B7C2D4E" w14:textId="77777777" w:rsidR="00ED15EC" w:rsidRPr="008134CF" w:rsidRDefault="00C7437F" w:rsidP="006E0EF3">
            <w:pPr>
              <w:pStyle w:val="Akapitzlist"/>
              <w:numPr>
                <w:ilvl w:val="0"/>
                <w:numId w:val="3"/>
              </w:numPr>
              <w:shd w:val="clear" w:color="auto" w:fill="FFFFFF"/>
              <w:spacing w:before="120" w:after="160" w:line="259" w:lineRule="auto"/>
              <w:ind w:left="426" w:hanging="66"/>
              <w:jc w:val="both"/>
              <w:rPr>
                <w:rFonts w:eastAsia="Times New Roman" w:cs="Times New Roman"/>
                <w:sz w:val="24"/>
                <w:szCs w:val="24"/>
                <w:lang w:eastAsia="pl-PL"/>
              </w:rPr>
            </w:pPr>
            <w:r w:rsidRPr="008134CF">
              <w:rPr>
                <w:rFonts w:eastAsia="Times New Roman" w:cs="Arial"/>
                <w:color w:val="222222"/>
                <w:sz w:val="24"/>
                <w:szCs w:val="24"/>
                <w:lang w:eastAsia="pl-PL"/>
              </w:rPr>
              <w:t>radzenie sobie z trudnymi sytuacjami w pracy.</w:t>
            </w:r>
          </w:p>
          <w:p w14:paraId="15E2FA2E" w14:textId="77777777" w:rsidR="00ED15EC" w:rsidRPr="008134CF" w:rsidRDefault="00C7437F" w:rsidP="006E0EF3">
            <w:pPr>
              <w:shd w:val="clear" w:color="auto" w:fill="FFFFFF"/>
              <w:spacing w:before="120" w:after="160" w:line="259" w:lineRule="auto"/>
              <w:ind w:left="720"/>
              <w:contextualSpacing/>
              <w:jc w:val="both"/>
              <w:rPr>
                <w:rFonts w:eastAsia="Times New Roman" w:cs="Times New Roman"/>
                <w:sz w:val="24"/>
                <w:szCs w:val="24"/>
                <w:lang w:eastAsia="pl-PL"/>
              </w:rPr>
            </w:pPr>
            <w:r w:rsidRPr="008134CF">
              <w:rPr>
                <w:rFonts w:eastAsia="Times New Roman" w:cs="Arial"/>
                <w:color w:val="222222"/>
                <w:sz w:val="24"/>
                <w:szCs w:val="24"/>
                <w:lang w:eastAsia="pl-PL"/>
              </w:rPr>
              <w:t>Innymi słowy: czy uczestnicy powyższych warsztatów muszą obligatoryjnie wziąć udział w egzaminach kończących się możliwością uzyskania certyfikatu?</w:t>
            </w:r>
          </w:p>
          <w:p w14:paraId="3FA47F77" w14:textId="77777777" w:rsidR="007935FB" w:rsidRPr="00816471" w:rsidRDefault="007935FB" w:rsidP="00EC3899">
            <w:pPr>
              <w:spacing w:before="120" w:after="160" w:line="259" w:lineRule="auto"/>
              <w:jc w:val="both"/>
              <w:rPr>
                <w:sz w:val="24"/>
                <w:szCs w:val="24"/>
                <w:highlight w:val="yellow"/>
              </w:rPr>
            </w:pPr>
          </w:p>
        </w:tc>
        <w:tc>
          <w:tcPr>
            <w:tcW w:w="6521" w:type="dxa"/>
          </w:tcPr>
          <w:p w14:paraId="24BAE062" w14:textId="77777777" w:rsidR="007935FB" w:rsidRPr="008134CF" w:rsidRDefault="00243224" w:rsidP="006E069A">
            <w:pPr>
              <w:spacing w:before="120" w:after="160" w:line="259" w:lineRule="auto"/>
              <w:jc w:val="both"/>
              <w:rPr>
                <w:rFonts w:eastAsia="Times New Roman" w:cs="Times New Roman"/>
                <w:sz w:val="24"/>
                <w:szCs w:val="24"/>
                <w:lang w:eastAsia="pl-PL"/>
              </w:rPr>
            </w:pPr>
            <w:r>
              <w:rPr>
                <w:rFonts w:eastAsia="Times New Roman" w:cs="Times New Roman"/>
                <w:b/>
                <w:bCs/>
                <w:iCs/>
                <w:sz w:val="24"/>
                <w:szCs w:val="24"/>
                <w:lang w:eastAsia="pl-PL"/>
              </w:rPr>
              <w:lastRenderedPageBreak/>
              <w:t>2</w:t>
            </w:r>
            <w:r w:rsidR="00C7437F" w:rsidRPr="008134CF">
              <w:rPr>
                <w:rFonts w:eastAsia="Times New Roman" w:cs="Times New Roman"/>
                <w:b/>
                <w:bCs/>
                <w:iCs/>
                <w:sz w:val="24"/>
                <w:szCs w:val="24"/>
                <w:lang w:eastAsia="pl-PL"/>
              </w:rPr>
              <w:t>.</w:t>
            </w:r>
            <w:r w:rsidR="00C7437F" w:rsidRPr="008134CF">
              <w:rPr>
                <w:rFonts w:eastAsia="Times New Roman" w:cs="Times New Roman"/>
                <w:sz w:val="24"/>
                <w:szCs w:val="24"/>
                <w:lang w:eastAsia="pl-PL"/>
              </w:rPr>
              <w:t xml:space="preserve"> Koszt przeprowadzenia szkoleń miękkich jest wydatkiem kwalifikowalnym. Jednakże  potrzeba udzielenia ww. formy wsparcia powinna być we wniosku odpowiednio uzasadniona. Wnioskodawca powinien wykazać, iż nabycie danych kompetencji jest konieczne dla poprawy sytuacji na rynku pracy lub uzyskania zatrudnienia przez osobę obejmowaną wsparciem. Należy pamiętać, że świadczone wsparcie musi mieć charakter zindywidualizowany i każdorazowo odpowiadać na </w:t>
            </w:r>
            <w:r w:rsidR="00C7437F" w:rsidRPr="008134CF">
              <w:rPr>
                <w:rFonts w:eastAsia="Times New Roman" w:cs="Times New Roman"/>
                <w:sz w:val="24"/>
                <w:szCs w:val="24"/>
                <w:lang w:eastAsia="pl-PL"/>
              </w:rPr>
              <w:lastRenderedPageBreak/>
              <w:t>sprecyzowane potrzeby uczestników projektu. W przypadku, gdy Wnioskodawca wybierze szkolenia prowadzące do nabycia kompetencji miękkich nie jest konieczne spełnienie warunków dotyczących walidacji, certyfikowania oraz rozpoznawalności dokumentów potwierdzających ich nabycie. Niemniej jednak Beneficjent we wniosku musi opisać standard wymagań (efekty uczenia się, które osiągną uczestnicy szkolenia) i sposób weryfik</w:t>
            </w:r>
            <w:r w:rsidR="006E069A">
              <w:rPr>
                <w:rFonts w:eastAsia="Times New Roman" w:cs="Times New Roman"/>
                <w:sz w:val="24"/>
                <w:szCs w:val="24"/>
                <w:lang w:eastAsia="pl-PL"/>
              </w:rPr>
              <w:t xml:space="preserve">acji uzyskania kompetencji (np. </w:t>
            </w:r>
            <w:r w:rsidR="00C7437F" w:rsidRPr="008134CF">
              <w:rPr>
                <w:rFonts w:eastAsia="Times New Roman" w:cs="Times New Roman"/>
                <w:sz w:val="24"/>
                <w:szCs w:val="24"/>
                <w:lang w:eastAsia="pl-PL"/>
              </w:rPr>
              <w:t>test, rozmowa oceniająca, etc.).</w:t>
            </w:r>
          </w:p>
        </w:tc>
      </w:tr>
      <w:tr w:rsidR="007935FB" w:rsidRPr="00B57D22" w14:paraId="6F2072BE" w14:textId="77777777" w:rsidTr="007935FB">
        <w:tc>
          <w:tcPr>
            <w:tcW w:w="7054" w:type="dxa"/>
          </w:tcPr>
          <w:p w14:paraId="7591C81F" w14:textId="77777777" w:rsidR="002E1B92" w:rsidRPr="00DC4682" w:rsidRDefault="00243224" w:rsidP="002E1B92">
            <w:pPr>
              <w:jc w:val="both"/>
              <w:rPr>
                <w:rFonts w:eastAsia="Times New Roman" w:cs="Times New Roman"/>
                <w:sz w:val="24"/>
                <w:szCs w:val="24"/>
                <w:lang w:eastAsia="pl-PL"/>
              </w:rPr>
            </w:pPr>
            <w:r w:rsidRPr="00DC4682">
              <w:rPr>
                <w:rFonts w:eastAsia="Times New Roman" w:cs="Times New Roman"/>
                <w:b/>
                <w:sz w:val="24"/>
                <w:szCs w:val="24"/>
                <w:lang w:eastAsia="pl-PL"/>
              </w:rPr>
              <w:lastRenderedPageBreak/>
              <w:t>3</w:t>
            </w:r>
            <w:r w:rsidR="002E1B92" w:rsidRPr="00DC4682">
              <w:rPr>
                <w:rFonts w:eastAsia="Times New Roman" w:cs="Times New Roman"/>
                <w:b/>
                <w:sz w:val="24"/>
                <w:szCs w:val="24"/>
                <w:lang w:eastAsia="pl-PL"/>
              </w:rPr>
              <w:t>.</w:t>
            </w:r>
            <w:r w:rsidR="002E1B92" w:rsidRPr="00DC4682">
              <w:rPr>
                <w:rFonts w:eastAsia="Times New Roman" w:cs="Times New Roman"/>
                <w:sz w:val="24"/>
                <w:szCs w:val="24"/>
                <w:lang w:eastAsia="pl-PL"/>
              </w:rPr>
              <w:t xml:space="preserve"> Czy 120 % zasiłku dla bezrobotnych (na dzisiaj 997,40 zł) jako stawka stypendium szkoleniowego jest wypłacana uczestnikowi w tej wysokości czy jest pomniejszana o w/w składki?</w:t>
            </w:r>
          </w:p>
          <w:p w14:paraId="74B73CAD" w14:textId="77777777" w:rsidR="007935FB" w:rsidRPr="00B57D22" w:rsidRDefault="002E1B92" w:rsidP="00B47D0B">
            <w:pPr>
              <w:jc w:val="both"/>
              <w:rPr>
                <w:rFonts w:eastAsia="Times New Roman" w:cs="Times New Roman"/>
                <w:sz w:val="24"/>
                <w:szCs w:val="24"/>
                <w:lang w:eastAsia="pl-PL"/>
              </w:rPr>
            </w:pPr>
            <w:r w:rsidRPr="00DC4682">
              <w:rPr>
                <w:rFonts w:eastAsia="Times New Roman" w:cs="Times New Roman"/>
                <w:sz w:val="24"/>
                <w:szCs w:val="24"/>
                <w:lang w:eastAsia="pl-PL"/>
              </w:rPr>
              <w:t xml:space="preserve">Jeżeli wypłacamy 997,40 uczestnikowi to powinniśmy doliczyć do projektu jeszcze pochodne, żeby pokryć składki emerytalną, rentową </w:t>
            </w:r>
            <w:r w:rsidR="00B47D0B" w:rsidRPr="00DC4682">
              <w:rPr>
                <w:rFonts w:eastAsia="Times New Roman" w:cs="Times New Roman"/>
                <w:sz w:val="24"/>
                <w:szCs w:val="24"/>
                <w:lang w:eastAsia="pl-PL"/>
              </w:rPr>
              <w:br/>
            </w:r>
            <w:r w:rsidRPr="00DC4682">
              <w:rPr>
                <w:rFonts w:eastAsia="Times New Roman" w:cs="Times New Roman"/>
                <w:sz w:val="24"/>
                <w:szCs w:val="24"/>
                <w:lang w:eastAsia="pl-PL"/>
              </w:rPr>
              <w:t>i wypadkową.</w:t>
            </w:r>
          </w:p>
        </w:tc>
        <w:tc>
          <w:tcPr>
            <w:tcW w:w="6521" w:type="dxa"/>
          </w:tcPr>
          <w:p w14:paraId="349FBCF2" w14:textId="77777777" w:rsidR="007935FB" w:rsidRPr="00B57D22" w:rsidRDefault="00243224" w:rsidP="00B47D0B">
            <w:pPr>
              <w:jc w:val="both"/>
              <w:rPr>
                <w:rFonts w:cs="Times New Roman"/>
                <w:sz w:val="24"/>
                <w:szCs w:val="24"/>
              </w:rPr>
            </w:pPr>
            <w:r>
              <w:rPr>
                <w:rFonts w:cs="Times New Roman"/>
                <w:b/>
                <w:sz w:val="24"/>
                <w:szCs w:val="24"/>
              </w:rPr>
              <w:t>3</w:t>
            </w:r>
            <w:r w:rsidR="002E1B92" w:rsidRPr="00B57D22">
              <w:rPr>
                <w:rFonts w:cs="Times New Roman"/>
                <w:b/>
                <w:sz w:val="24"/>
                <w:szCs w:val="24"/>
              </w:rPr>
              <w:t>.</w:t>
            </w:r>
            <w:r w:rsidR="002E1B92" w:rsidRPr="00B57D22">
              <w:rPr>
                <w:rFonts w:cs="Times New Roman"/>
                <w:sz w:val="24"/>
                <w:szCs w:val="24"/>
              </w:rPr>
              <w:t xml:space="preserve"> W przypadku stypendium szkoleniowego w wysokości nie większej niż 120% zasiłku dla bezrobotnych, tj. 997,40 zł </w:t>
            </w:r>
            <w:r w:rsidR="002E1B92" w:rsidRPr="00B57D22">
              <w:rPr>
                <w:rFonts w:cs="Times New Roman"/>
                <w:sz w:val="24"/>
                <w:szCs w:val="24"/>
              </w:rPr>
              <w:br/>
              <w:t>w budżecie projektu ujmuje Pan tą właśnie kwotę brutto, natomiast uczestnik projektu, któremu będzie się należało ww. stypendium szkoleniowe będzie miał wypłaconą kwotę pomniejszoną o składki.</w:t>
            </w:r>
          </w:p>
        </w:tc>
      </w:tr>
      <w:tr w:rsidR="007935FB" w:rsidRPr="00B57D22" w14:paraId="164C6C72" w14:textId="77777777" w:rsidTr="007935FB">
        <w:tc>
          <w:tcPr>
            <w:tcW w:w="7054" w:type="dxa"/>
          </w:tcPr>
          <w:p w14:paraId="4ADED344" w14:textId="77777777" w:rsidR="007935FB" w:rsidRPr="00B57D22" w:rsidRDefault="00243224" w:rsidP="00243224">
            <w:pPr>
              <w:jc w:val="both"/>
              <w:rPr>
                <w:sz w:val="24"/>
                <w:szCs w:val="24"/>
              </w:rPr>
            </w:pPr>
            <w:r>
              <w:rPr>
                <w:rFonts w:eastAsia="Times New Roman" w:cs="Arial"/>
                <w:b/>
                <w:color w:val="333333"/>
                <w:sz w:val="24"/>
                <w:szCs w:val="24"/>
                <w:shd w:val="clear" w:color="auto" w:fill="F1F1F1"/>
                <w:lang w:eastAsia="pl-PL"/>
              </w:rPr>
              <w:t>4</w:t>
            </w:r>
            <w:r w:rsidR="00423500" w:rsidRPr="00B57D22">
              <w:rPr>
                <w:rFonts w:eastAsia="Times New Roman" w:cs="Arial"/>
                <w:b/>
                <w:color w:val="333333"/>
                <w:sz w:val="24"/>
                <w:szCs w:val="24"/>
                <w:shd w:val="clear" w:color="auto" w:fill="F1F1F1"/>
                <w:lang w:eastAsia="pl-PL"/>
              </w:rPr>
              <w:t>.</w:t>
            </w:r>
            <w:r w:rsidR="00423500" w:rsidRPr="00B57D22">
              <w:rPr>
                <w:rFonts w:eastAsia="Times New Roman" w:cs="Times New Roman"/>
                <w:sz w:val="24"/>
                <w:szCs w:val="24"/>
                <w:lang w:eastAsia="pl-PL"/>
              </w:rPr>
              <w:t xml:space="preserve"> Czy w przedmiotowym konkursie określony został minimalny </w:t>
            </w:r>
            <w:r w:rsidR="00423500" w:rsidRPr="00B57D22">
              <w:rPr>
                <w:sz w:val="24"/>
                <w:szCs w:val="24"/>
              </w:rPr>
              <w:t xml:space="preserve">poziom wskaźnika pt. Liczba osób pracujących, łącznie </w:t>
            </w:r>
            <w:r w:rsidR="006C28C6" w:rsidRPr="00B57D22">
              <w:rPr>
                <w:sz w:val="24"/>
                <w:szCs w:val="24"/>
              </w:rPr>
              <w:br/>
            </w:r>
            <w:r w:rsidR="00423500" w:rsidRPr="00B57D22">
              <w:rPr>
                <w:sz w:val="24"/>
                <w:szCs w:val="24"/>
              </w:rPr>
              <w:t>z prowadzącymi działalność na własny rachunek, po opuszczeniu programu.</w:t>
            </w:r>
          </w:p>
        </w:tc>
        <w:tc>
          <w:tcPr>
            <w:tcW w:w="6521" w:type="dxa"/>
          </w:tcPr>
          <w:p w14:paraId="615BB570" w14:textId="77777777" w:rsidR="007935FB" w:rsidRPr="00B57D22" w:rsidRDefault="00243224" w:rsidP="00D05531">
            <w:pPr>
              <w:jc w:val="both"/>
              <w:rPr>
                <w:rFonts w:cs="Times New Roman"/>
                <w:sz w:val="24"/>
                <w:szCs w:val="24"/>
              </w:rPr>
            </w:pPr>
            <w:r>
              <w:rPr>
                <w:rFonts w:cs="Times New Roman"/>
                <w:b/>
                <w:sz w:val="24"/>
                <w:szCs w:val="24"/>
              </w:rPr>
              <w:t>4</w:t>
            </w:r>
            <w:r w:rsidR="00423500" w:rsidRPr="00B57D22">
              <w:rPr>
                <w:rFonts w:cs="Times New Roman"/>
                <w:b/>
                <w:sz w:val="24"/>
                <w:szCs w:val="24"/>
              </w:rPr>
              <w:t>.</w:t>
            </w:r>
            <w:r w:rsidR="00423500" w:rsidRPr="00B57D22">
              <w:rPr>
                <w:rFonts w:cs="Times New Roman"/>
                <w:sz w:val="24"/>
                <w:szCs w:val="24"/>
              </w:rPr>
              <w:t xml:space="preserve"> W ramach projektu odsetek osób objętych wsparciem </w:t>
            </w:r>
            <w:r w:rsidR="00D05531" w:rsidRPr="00B57D22">
              <w:rPr>
                <w:rFonts w:cs="Times New Roman"/>
                <w:sz w:val="24"/>
                <w:szCs w:val="24"/>
              </w:rPr>
              <w:br/>
            </w:r>
            <w:r w:rsidR="00423500" w:rsidRPr="00B57D22">
              <w:rPr>
                <w:rFonts w:cs="Times New Roman"/>
                <w:sz w:val="24"/>
                <w:szCs w:val="24"/>
              </w:rPr>
              <w:t xml:space="preserve">w programie, pracujących po opuszczeniu programu (łącznie </w:t>
            </w:r>
            <w:r w:rsidR="006C28C6" w:rsidRPr="00B57D22">
              <w:rPr>
                <w:rFonts w:cs="Times New Roman"/>
                <w:sz w:val="24"/>
                <w:szCs w:val="24"/>
              </w:rPr>
              <w:br/>
            </w:r>
            <w:r w:rsidR="00423500" w:rsidRPr="00B57D22">
              <w:rPr>
                <w:rFonts w:cs="Times New Roman"/>
                <w:sz w:val="24"/>
                <w:szCs w:val="24"/>
              </w:rPr>
              <w:t xml:space="preserve">z prowadzącymi działalność na własny rachunek) powinien wynosić </w:t>
            </w:r>
            <w:r w:rsidR="00423500" w:rsidRPr="00B57D22">
              <w:rPr>
                <w:rFonts w:cs="Times New Roman"/>
                <w:sz w:val="24"/>
                <w:szCs w:val="24"/>
                <w:u w:val="single"/>
              </w:rPr>
              <w:t>minimum 53%</w:t>
            </w:r>
            <w:r w:rsidR="00423500" w:rsidRPr="00B57D22">
              <w:rPr>
                <w:rFonts w:cs="Times New Roman"/>
                <w:sz w:val="24"/>
                <w:szCs w:val="24"/>
              </w:rPr>
              <w:t xml:space="preserve"> osób  objętych wsparciem w projekcie.</w:t>
            </w:r>
            <w:r w:rsidR="00423500" w:rsidRPr="00B57D22">
              <w:rPr>
                <w:rFonts w:cs="Times New Roman"/>
                <w:sz w:val="24"/>
                <w:szCs w:val="24"/>
              </w:rPr>
              <w:br/>
              <w:t>Definicj</w:t>
            </w:r>
            <w:r w:rsidR="00D05531" w:rsidRPr="00B57D22">
              <w:rPr>
                <w:rFonts w:cs="Times New Roman"/>
                <w:sz w:val="24"/>
                <w:szCs w:val="24"/>
              </w:rPr>
              <w:t>a</w:t>
            </w:r>
            <w:r w:rsidR="00423500" w:rsidRPr="00B57D22">
              <w:rPr>
                <w:rFonts w:cs="Times New Roman"/>
                <w:sz w:val="24"/>
                <w:szCs w:val="24"/>
              </w:rPr>
              <w:t>, metodologi</w:t>
            </w:r>
            <w:r w:rsidR="00D05531" w:rsidRPr="00B57D22">
              <w:rPr>
                <w:rFonts w:cs="Times New Roman"/>
                <w:sz w:val="24"/>
                <w:szCs w:val="24"/>
              </w:rPr>
              <w:t>a</w:t>
            </w:r>
            <w:r w:rsidR="00423500" w:rsidRPr="00B57D22">
              <w:rPr>
                <w:rFonts w:cs="Times New Roman"/>
                <w:sz w:val="24"/>
                <w:szCs w:val="24"/>
              </w:rPr>
              <w:t xml:space="preserve"> oraz sposób pomiaru wskaźnik</w:t>
            </w:r>
            <w:r w:rsidR="00D05531" w:rsidRPr="00B57D22">
              <w:rPr>
                <w:rFonts w:cs="Times New Roman"/>
                <w:sz w:val="24"/>
                <w:szCs w:val="24"/>
              </w:rPr>
              <w:t>a</w:t>
            </w:r>
            <w:r w:rsidR="00423500" w:rsidRPr="00B57D22">
              <w:rPr>
                <w:rFonts w:cs="Times New Roman"/>
                <w:sz w:val="24"/>
                <w:szCs w:val="24"/>
              </w:rPr>
              <w:t xml:space="preserve"> znaj</w:t>
            </w:r>
            <w:r w:rsidR="00D05531" w:rsidRPr="00B57D22">
              <w:rPr>
                <w:rFonts w:cs="Times New Roman"/>
                <w:sz w:val="24"/>
                <w:szCs w:val="24"/>
              </w:rPr>
              <w:t xml:space="preserve">duje się </w:t>
            </w:r>
            <w:r w:rsidR="00423500" w:rsidRPr="00B57D22">
              <w:rPr>
                <w:rFonts w:cs="Times New Roman"/>
                <w:sz w:val="24"/>
                <w:szCs w:val="24"/>
              </w:rPr>
              <w:t>w załączniku nr 12 do Regulaminu konkursu.</w:t>
            </w:r>
          </w:p>
        </w:tc>
      </w:tr>
      <w:tr w:rsidR="00B57D22" w:rsidRPr="00B57D22" w14:paraId="2199B316" w14:textId="77777777" w:rsidTr="00DC4682">
        <w:trPr>
          <w:trHeight w:val="4243"/>
        </w:trPr>
        <w:tc>
          <w:tcPr>
            <w:tcW w:w="7054" w:type="dxa"/>
          </w:tcPr>
          <w:p w14:paraId="0CE91454" w14:textId="77777777" w:rsidR="00B57D22" w:rsidRPr="00F8053A" w:rsidRDefault="000A15F6" w:rsidP="000A15F6">
            <w:pPr>
              <w:jc w:val="both"/>
              <w:rPr>
                <w:sz w:val="24"/>
                <w:szCs w:val="24"/>
              </w:rPr>
            </w:pPr>
            <w:r w:rsidRPr="00F8053A">
              <w:rPr>
                <w:b/>
                <w:sz w:val="24"/>
                <w:szCs w:val="24"/>
              </w:rPr>
              <w:lastRenderedPageBreak/>
              <w:t>5.</w:t>
            </w:r>
            <w:r w:rsidRPr="00F8053A">
              <w:rPr>
                <w:sz w:val="24"/>
                <w:szCs w:val="24"/>
              </w:rPr>
              <w:t xml:space="preserve"> </w:t>
            </w:r>
            <w:r w:rsidR="00B57D22" w:rsidRPr="00F8053A">
              <w:rPr>
                <w:sz w:val="24"/>
                <w:szCs w:val="24"/>
              </w:rPr>
              <w:t xml:space="preserve">Zgodnie z kryterium merytorycznym szczegółowym nr 5 co najmniej 10% uczestników projektu będzie miało zapewnioną kompleksowość wsparcia w ramach projektu. Czy kryterium można uznać za spełnione w przypadku, gdy uczestnik projektu na podstawie IPD zostanie objęty wsparciem obejmującym szkolenia oraz staż, jednak po zakończeniu udziału w projekcie zostanie zatrudniony </w:t>
            </w:r>
            <w:r w:rsidRPr="00F8053A">
              <w:rPr>
                <w:sz w:val="24"/>
                <w:szCs w:val="24"/>
              </w:rPr>
              <w:br/>
            </w:r>
            <w:r w:rsidR="00B57D22" w:rsidRPr="00F8053A">
              <w:rPr>
                <w:sz w:val="24"/>
                <w:szCs w:val="24"/>
              </w:rPr>
              <w:t>w zawodzie odbiegającym od określonej w IPD ścieżki?</w:t>
            </w:r>
          </w:p>
          <w:p w14:paraId="64BD95DB" w14:textId="77777777" w:rsidR="00D546CB" w:rsidRPr="00F8053A" w:rsidRDefault="00D546CB" w:rsidP="000A15F6">
            <w:pPr>
              <w:jc w:val="both"/>
              <w:rPr>
                <w:sz w:val="24"/>
                <w:szCs w:val="24"/>
              </w:rPr>
            </w:pPr>
          </w:p>
          <w:p w14:paraId="582AED5D" w14:textId="77777777" w:rsidR="00D546CB" w:rsidRPr="00F8053A" w:rsidRDefault="00D546CB" w:rsidP="000A15F6">
            <w:pPr>
              <w:jc w:val="both"/>
              <w:rPr>
                <w:sz w:val="24"/>
                <w:szCs w:val="24"/>
              </w:rPr>
            </w:pPr>
          </w:p>
          <w:p w14:paraId="01E0FDD4" w14:textId="77777777" w:rsidR="00D546CB" w:rsidRPr="00F8053A" w:rsidRDefault="00D546CB" w:rsidP="000A15F6">
            <w:pPr>
              <w:jc w:val="both"/>
              <w:rPr>
                <w:sz w:val="24"/>
                <w:szCs w:val="24"/>
              </w:rPr>
            </w:pPr>
          </w:p>
          <w:p w14:paraId="2F7656DA" w14:textId="77777777" w:rsidR="00D546CB" w:rsidRPr="00F8053A" w:rsidRDefault="00D546CB" w:rsidP="000A15F6">
            <w:pPr>
              <w:jc w:val="both"/>
              <w:rPr>
                <w:sz w:val="24"/>
                <w:szCs w:val="24"/>
              </w:rPr>
            </w:pPr>
          </w:p>
          <w:p w14:paraId="69EEC2CF" w14:textId="77777777" w:rsidR="00D546CB" w:rsidRPr="00F8053A" w:rsidRDefault="00D546CB" w:rsidP="000A15F6">
            <w:pPr>
              <w:jc w:val="both"/>
              <w:rPr>
                <w:sz w:val="24"/>
                <w:szCs w:val="24"/>
              </w:rPr>
            </w:pPr>
          </w:p>
          <w:p w14:paraId="07B47956" w14:textId="77777777" w:rsidR="00D546CB" w:rsidRPr="00F8053A" w:rsidRDefault="00D546CB" w:rsidP="000A15F6">
            <w:pPr>
              <w:jc w:val="both"/>
              <w:rPr>
                <w:sz w:val="24"/>
                <w:szCs w:val="24"/>
              </w:rPr>
            </w:pPr>
          </w:p>
          <w:p w14:paraId="319F8E91" w14:textId="77777777" w:rsidR="00D546CB" w:rsidRPr="00F8053A" w:rsidRDefault="00D546CB" w:rsidP="000A15F6">
            <w:pPr>
              <w:jc w:val="both"/>
              <w:rPr>
                <w:sz w:val="24"/>
                <w:szCs w:val="24"/>
              </w:rPr>
            </w:pPr>
          </w:p>
          <w:p w14:paraId="512D1E9A" w14:textId="77777777" w:rsidR="00D546CB" w:rsidRPr="00F8053A" w:rsidRDefault="00D546CB" w:rsidP="000A15F6">
            <w:pPr>
              <w:jc w:val="both"/>
              <w:rPr>
                <w:sz w:val="24"/>
                <w:szCs w:val="24"/>
              </w:rPr>
            </w:pPr>
          </w:p>
          <w:p w14:paraId="4AFBD030" w14:textId="77777777" w:rsidR="00D546CB" w:rsidRPr="00F8053A" w:rsidRDefault="00D546CB" w:rsidP="000A15F6">
            <w:pPr>
              <w:jc w:val="both"/>
              <w:rPr>
                <w:sz w:val="24"/>
                <w:szCs w:val="24"/>
              </w:rPr>
            </w:pPr>
          </w:p>
          <w:p w14:paraId="396E9DE6" w14:textId="77777777" w:rsidR="00D546CB" w:rsidRPr="00F8053A" w:rsidRDefault="00D546CB" w:rsidP="00451D8B">
            <w:pPr>
              <w:jc w:val="both"/>
            </w:pPr>
          </w:p>
        </w:tc>
        <w:tc>
          <w:tcPr>
            <w:tcW w:w="6521" w:type="dxa"/>
          </w:tcPr>
          <w:p w14:paraId="63AC5FF0" w14:textId="77777777" w:rsidR="000A15F6" w:rsidRPr="00243224" w:rsidRDefault="000A15F6" w:rsidP="000A15F6">
            <w:pPr>
              <w:jc w:val="both"/>
              <w:rPr>
                <w:color w:val="000000" w:themeColor="text1"/>
                <w:sz w:val="24"/>
                <w:szCs w:val="24"/>
              </w:rPr>
            </w:pPr>
            <w:r w:rsidRPr="00243224">
              <w:rPr>
                <w:b/>
                <w:color w:val="000000" w:themeColor="text1"/>
                <w:sz w:val="24"/>
                <w:szCs w:val="24"/>
              </w:rPr>
              <w:t>5.</w:t>
            </w:r>
            <w:r w:rsidRPr="00243224">
              <w:rPr>
                <w:color w:val="000000" w:themeColor="text1"/>
                <w:sz w:val="24"/>
                <w:szCs w:val="24"/>
              </w:rPr>
              <w:t xml:space="preserve"> </w:t>
            </w:r>
            <w:r w:rsidR="00B57D22" w:rsidRPr="00243224">
              <w:rPr>
                <w:color w:val="000000" w:themeColor="text1"/>
                <w:sz w:val="24"/>
                <w:szCs w:val="24"/>
              </w:rPr>
              <w:t xml:space="preserve">Zgodnie z definicją ww. kryterium kompleksowość wsparcia powinna polegać na kontynuacji działań i utrwalaniu wiedzy, nabytych umiejętności poprzez wprowadzenie wymogu, iż ścieżka jaką zostanie objęty beneficjent ostateczny projektu od IPD, poprzez szkolenie, staż oraz ewentualne zatrudnienie subsydiowane, będzie przebiegać w tym samym pod kątem specyfiki zawodzie. </w:t>
            </w:r>
          </w:p>
          <w:p w14:paraId="66E95CCB" w14:textId="77777777" w:rsidR="00D11044" w:rsidRPr="00243224" w:rsidRDefault="00B57D22" w:rsidP="00243224">
            <w:pPr>
              <w:jc w:val="both"/>
              <w:rPr>
                <w:color w:val="000000" w:themeColor="text1"/>
                <w:sz w:val="24"/>
                <w:szCs w:val="24"/>
              </w:rPr>
            </w:pPr>
            <w:r w:rsidRPr="00243224">
              <w:rPr>
                <w:color w:val="000000" w:themeColor="text1"/>
                <w:sz w:val="24"/>
                <w:szCs w:val="24"/>
              </w:rPr>
              <w:t xml:space="preserve">W przypadku, gdy Wnioskodawca nie przewiduje w projekcie wsparcia w formie zatrudnienia subsydiowanego, </w:t>
            </w:r>
            <w:r w:rsidR="00B30B85" w:rsidRPr="00243224">
              <w:rPr>
                <w:color w:val="000000" w:themeColor="text1"/>
                <w:sz w:val="24"/>
                <w:szCs w:val="24"/>
              </w:rPr>
              <w:br/>
            </w:r>
            <w:r w:rsidRPr="00243224">
              <w:rPr>
                <w:color w:val="000000" w:themeColor="text1"/>
                <w:sz w:val="24"/>
                <w:szCs w:val="24"/>
              </w:rPr>
              <w:t xml:space="preserve">a zaplanowana ścieżka przebiegła zgodnie z ww. założeniami (tj. na podstawie IPD zostaje określone, iż uczestnik projektu ma predyspozycje do wykonywania konkretnego zawodu, zostaje skierowany na szkolenie w tym zawodzie oraz odbywa staż </w:t>
            </w:r>
            <w:r w:rsidR="00B30B85" w:rsidRPr="00243224">
              <w:rPr>
                <w:color w:val="000000" w:themeColor="text1"/>
                <w:sz w:val="24"/>
                <w:szCs w:val="24"/>
              </w:rPr>
              <w:br/>
            </w:r>
            <w:r w:rsidRPr="00243224">
              <w:rPr>
                <w:color w:val="000000" w:themeColor="text1"/>
                <w:sz w:val="24"/>
                <w:szCs w:val="24"/>
              </w:rPr>
              <w:t xml:space="preserve">w tym zawodzie), to kryterium uznaje się za spełnione. </w:t>
            </w:r>
          </w:p>
        </w:tc>
      </w:tr>
      <w:tr w:rsidR="00CB6928" w:rsidRPr="00B57D22" w14:paraId="3CAC4322" w14:textId="77777777" w:rsidTr="007935FB">
        <w:tc>
          <w:tcPr>
            <w:tcW w:w="7054" w:type="dxa"/>
          </w:tcPr>
          <w:p w14:paraId="20781694" w14:textId="77777777" w:rsidR="00CB6928" w:rsidRPr="000A15F6" w:rsidRDefault="00CB6928" w:rsidP="00CB6928">
            <w:pPr>
              <w:jc w:val="both"/>
              <w:rPr>
                <w:sz w:val="24"/>
                <w:szCs w:val="24"/>
              </w:rPr>
            </w:pPr>
            <w:r>
              <w:rPr>
                <w:b/>
                <w:sz w:val="24"/>
                <w:szCs w:val="24"/>
              </w:rPr>
              <w:t xml:space="preserve">6. </w:t>
            </w:r>
            <w:r w:rsidRPr="000A15F6">
              <w:rPr>
                <w:sz w:val="24"/>
                <w:szCs w:val="24"/>
              </w:rPr>
              <w:t xml:space="preserve">W okresie odbywania stażu stażyście przysługuje miesięczne stypendium w wysokości nie większej niż kwota minimalnego wynagrodzenia za pracę ustalanego na podstawie przepisów </w:t>
            </w:r>
            <w:r>
              <w:rPr>
                <w:sz w:val="24"/>
                <w:szCs w:val="24"/>
              </w:rPr>
              <w:br/>
            </w:r>
            <w:r w:rsidRPr="000A15F6">
              <w:rPr>
                <w:sz w:val="24"/>
                <w:szCs w:val="24"/>
              </w:rPr>
              <w:t xml:space="preserve">o minimalnym wynagrodzeniu za pracę naliczane proporcjonalnie do liczby godzin stażu zrealizowanych przez stażystę. Zgodnie </w:t>
            </w:r>
            <w:r>
              <w:rPr>
                <w:sz w:val="24"/>
                <w:szCs w:val="24"/>
              </w:rPr>
              <w:br/>
            </w:r>
            <w:r w:rsidRPr="000A15F6">
              <w:rPr>
                <w:sz w:val="24"/>
                <w:szCs w:val="24"/>
              </w:rPr>
              <w:t xml:space="preserve">z rozporządzeniem w sprawie wysokości minimalnego wynagrodzenia za pracę (Rozporządzenie Rady Ministrów z dnia 11 września 2015r. </w:t>
            </w:r>
            <w:r w:rsidRPr="000A15F6">
              <w:rPr>
                <w:sz w:val="24"/>
                <w:szCs w:val="24"/>
              </w:rPr>
              <w:br/>
              <w:t xml:space="preserve">w sprawie wysokości minimalnego wynagrodzenia za pracę w 2016r., </w:t>
            </w:r>
            <w:hyperlink r:id="rId6" w:tgtFrame="_blank" w:history="1">
              <w:r w:rsidRPr="000A15F6">
                <w:rPr>
                  <w:rStyle w:val="Hipercze"/>
                  <w:sz w:val="24"/>
                  <w:szCs w:val="24"/>
                </w:rPr>
                <w:t>Dziennik Ustaw z 2015 r. poz. 1385</w:t>
              </w:r>
            </w:hyperlink>
            <w:r w:rsidRPr="000A15F6">
              <w:rPr>
                <w:sz w:val="24"/>
                <w:szCs w:val="24"/>
              </w:rPr>
              <w:t>) od 1 stycznia 2016 r. płaca minimalna pracownika zatrudnionego w pełnym wymiarze czasu pracy wynosi 1850 zł, natomiast zgodnie z planowaną nowelizacją przepisów minimalne wynagrodzenie za pracę w 2017 r. będzie wynosiło 2000 zł.</w:t>
            </w:r>
          </w:p>
          <w:p w14:paraId="3A06FF76" w14:textId="77777777" w:rsidR="00CB6928" w:rsidRPr="000A15F6" w:rsidRDefault="00CB6928" w:rsidP="00CB6928">
            <w:pPr>
              <w:jc w:val="both"/>
              <w:rPr>
                <w:b/>
                <w:sz w:val="24"/>
                <w:szCs w:val="24"/>
              </w:rPr>
            </w:pPr>
            <w:r w:rsidRPr="000A15F6">
              <w:rPr>
                <w:sz w:val="24"/>
                <w:szCs w:val="24"/>
              </w:rPr>
              <w:t xml:space="preserve">Czy Wnioskodawca na etapie przygotowania wniosku </w:t>
            </w:r>
            <w:r>
              <w:rPr>
                <w:sz w:val="24"/>
                <w:szCs w:val="24"/>
              </w:rPr>
              <w:br/>
            </w:r>
            <w:r w:rsidRPr="000A15F6">
              <w:rPr>
                <w:sz w:val="24"/>
                <w:szCs w:val="24"/>
              </w:rPr>
              <w:t xml:space="preserve">o dofinansowanie projektu, planując jego budżet, przy założeniu, że będzie realizował projekt w roku 2017, może założyć wyższą stawkę (tj. 2000 zł), czy powinien zaplanować te koszty na poziomie zgodnym z przepisami obowiązującymi na dzień sporządzenia wniosku </w:t>
            </w:r>
            <w:r>
              <w:rPr>
                <w:sz w:val="24"/>
                <w:szCs w:val="24"/>
              </w:rPr>
              <w:br/>
            </w:r>
            <w:r w:rsidRPr="000A15F6">
              <w:rPr>
                <w:sz w:val="24"/>
                <w:szCs w:val="24"/>
              </w:rPr>
              <w:t>o dofinansowanie (tj. 1850 zł)?</w:t>
            </w:r>
          </w:p>
        </w:tc>
        <w:tc>
          <w:tcPr>
            <w:tcW w:w="6521" w:type="dxa"/>
          </w:tcPr>
          <w:p w14:paraId="39832796" w14:textId="77777777" w:rsidR="00CB6928" w:rsidRPr="000A15F6" w:rsidRDefault="00CB6928" w:rsidP="00CB6928">
            <w:pPr>
              <w:jc w:val="both"/>
              <w:rPr>
                <w:sz w:val="24"/>
                <w:szCs w:val="24"/>
              </w:rPr>
            </w:pPr>
            <w:r>
              <w:rPr>
                <w:b/>
                <w:sz w:val="24"/>
                <w:szCs w:val="24"/>
              </w:rPr>
              <w:t xml:space="preserve">6. </w:t>
            </w:r>
            <w:r w:rsidRPr="000A15F6">
              <w:rPr>
                <w:sz w:val="24"/>
                <w:szCs w:val="24"/>
              </w:rPr>
              <w:t xml:space="preserve">Zgodnie z zapisami Wytycznych W okresie odbywania stażu stażyście przysługuje miesięczne stypendium w wysokości nie większej niż kwota minimalnego wynagrodzenia za pracę ustalanego na podstawie przepisów o minimalnym wynagrodzeniu za pracę naliczane proporcjonalnie do liczby  godzin stażu zrealizowanych przez stażystę. </w:t>
            </w:r>
          </w:p>
          <w:p w14:paraId="77927789" w14:textId="77777777" w:rsidR="00CB6928" w:rsidRPr="000A15F6" w:rsidRDefault="00CB6928" w:rsidP="00CB6928">
            <w:pPr>
              <w:jc w:val="both"/>
              <w:rPr>
                <w:sz w:val="24"/>
                <w:szCs w:val="24"/>
              </w:rPr>
            </w:pPr>
            <w:r w:rsidRPr="000A15F6">
              <w:rPr>
                <w:sz w:val="24"/>
                <w:szCs w:val="24"/>
              </w:rPr>
              <w:t>W związku z powyższym na dzień składania wniosku, obowiązującym przepisem prawa jest Rozporządzenie Rady Ministrów z dnia 11 września 2015 r. w sprawie wysokości minimalnego wynagrodzenia za pracę w 2016 r. (</w:t>
            </w:r>
            <w:hyperlink r:id="rId7" w:tgtFrame="_blank" w:history="1">
              <w:r w:rsidRPr="000A15F6">
                <w:rPr>
                  <w:rStyle w:val="Hipercze"/>
                  <w:sz w:val="24"/>
                  <w:szCs w:val="24"/>
                </w:rPr>
                <w:t>Dz. U. 2015 r. poz. 1385</w:t>
              </w:r>
            </w:hyperlink>
            <w:r w:rsidRPr="000A15F6">
              <w:rPr>
                <w:sz w:val="24"/>
                <w:szCs w:val="24"/>
              </w:rPr>
              <w:t>) zgodnie, z którym minimalne wynagrodzenie za pracę wynosi 1850,00 zł. Po analizie powyższych zapisów oraz konsultacji telefonicznej z Ministerstwem Rozwoju IZ uznaje, że kwota 1850,00 powinna zostać założona przez Wnioskodawcę podczas projektowania budżetu niezależnie od tego w jakim okresie przewidziany jest staż.</w:t>
            </w:r>
          </w:p>
          <w:p w14:paraId="4900BF00" w14:textId="77777777" w:rsidR="00CB6928" w:rsidRPr="00243224" w:rsidRDefault="00CB6928" w:rsidP="004260F8">
            <w:pPr>
              <w:jc w:val="both"/>
              <w:rPr>
                <w:b/>
                <w:color w:val="000000" w:themeColor="text1"/>
                <w:sz w:val="24"/>
                <w:szCs w:val="24"/>
              </w:rPr>
            </w:pPr>
            <w:r w:rsidRPr="004260F8">
              <w:rPr>
                <w:sz w:val="24"/>
                <w:szCs w:val="24"/>
              </w:rPr>
              <w:t xml:space="preserve">W sytuacji, gdy wejdą w życie nowe uregulowania (tj. od </w:t>
            </w:r>
            <w:r w:rsidRPr="004260F8">
              <w:rPr>
                <w:sz w:val="24"/>
                <w:szCs w:val="24"/>
              </w:rPr>
              <w:br/>
              <w:t xml:space="preserve">1 stycznia 2017 r.), Wnioskodawca może wnioskować </w:t>
            </w:r>
            <w:r w:rsidRPr="004260F8">
              <w:rPr>
                <w:sz w:val="24"/>
                <w:szCs w:val="24"/>
              </w:rPr>
              <w:br/>
              <w:t xml:space="preserve">o zwiększenie kwoty w ramach środków, jakimi dysponuje </w:t>
            </w:r>
            <w:r w:rsidRPr="004260F8">
              <w:rPr>
                <w:sz w:val="24"/>
                <w:szCs w:val="24"/>
              </w:rPr>
              <w:br/>
            </w:r>
            <w:r w:rsidRPr="004260F8">
              <w:rPr>
                <w:sz w:val="24"/>
                <w:szCs w:val="24"/>
              </w:rPr>
              <w:lastRenderedPageBreak/>
              <w:t>w budżecie projektu</w:t>
            </w:r>
            <w:r w:rsidR="004260F8" w:rsidRPr="004260F8">
              <w:rPr>
                <w:sz w:val="24"/>
                <w:szCs w:val="24"/>
              </w:rPr>
              <w:t xml:space="preserve"> </w:t>
            </w:r>
            <w:r w:rsidR="004260F8" w:rsidRPr="00AB309F">
              <w:rPr>
                <w:sz w:val="24"/>
                <w:szCs w:val="24"/>
              </w:rPr>
              <w:t>(bez możliwości zwiększania wartości ogółem projektu)</w:t>
            </w:r>
            <w:r w:rsidRPr="00AB309F">
              <w:rPr>
                <w:sz w:val="24"/>
                <w:szCs w:val="24"/>
              </w:rPr>
              <w:t>.</w:t>
            </w:r>
            <w:r w:rsidR="004260F8" w:rsidRPr="00AB309F">
              <w:rPr>
                <w:sz w:val="24"/>
                <w:szCs w:val="24"/>
              </w:rPr>
              <w:t xml:space="preserve"> Powyższe będzie możliwe po podpisaniu umowy o dofinasowanie projektu.</w:t>
            </w:r>
          </w:p>
        </w:tc>
      </w:tr>
      <w:tr w:rsidR="00863B0F" w:rsidRPr="00B57D22" w14:paraId="382E2030" w14:textId="77777777" w:rsidTr="007935FB">
        <w:tc>
          <w:tcPr>
            <w:tcW w:w="7054" w:type="dxa"/>
          </w:tcPr>
          <w:p w14:paraId="37984AEA" w14:textId="77777777" w:rsidR="00863B0F" w:rsidRPr="00895F82" w:rsidRDefault="00CB6928" w:rsidP="000A15F6">
            <w:pPr>
              <w:jc w:val="both"/>
              <w:rPr>
                <w:b/>
                <w:sz w:val="24"/>
                <w:szCs w:val="24"/>
              </w:rPr>
            </w:pPr>
            <w:r>
              <w:rPr>
                <w:b/>
                <w:sz w:val="24"/>
                <w:szCs w:val="24"/>
              </w:rPr>
              <w:lastRenderedPageBreak/>
              <w:t>7</w:t>
            </w:r>
            <w:r w:rsidR="00901FCA" w:rsidRPr="00895F82">
              <w:rPr>
                <w:b/>
                <w:sz w:val="24"/>
                <w:szCs w:val="24"/>
              </w:rPr>
              <w:t xml:space="preserve">. </w:t>
            </w:r>
            <w:r w:rsidR="00863B0F" w:rsidRPr="00895F82">
              <w:rPr>
                <w:sz w:val="24"/>
                <w:szCs w:val="24"/>
              </w:rPr>
              <w:t xml:space="preserve">W jaki sposób powinno się określać wskaźnik „Liczba osób pracujących, łącznie w prowadzącymi działalność na własny rachunek, po opuszczeniu programu”? Wskaźniki te mogą być inne dla grup </w:t>
            </w:r>
            <w:r w:rsidR="00895F82">
              <w:rPr>
                <w:sz w:val="24"/>
                <w:szCs w:val="24"/>
              </w:rPr>
              <w:br/>
            </w:r>
            <w:r w:rsidR="00863B0F" w:rsidRPr="00895F82">
              <w:rPr>
                <w:sz w:val="24"/>
                <w:szCs w:val="24"/>
              </w:rPr>
              <w:t>o różnych charakterystykach, poza tym, jedna osoba może przynależeć do różnych grup. Rozumiemy to, że wskaźnik ten nie jest tożsamy ze wskaźnikiem odnoszącym się do kryterium efektywności zatrudnieniowej, który mierzony jest po 3 miesiącach od zakończenia udziału w projekcie, jednak wskaźniki te nie są też od siebie oderwane. Efektywność zatrudnieniową mierzy się w podziale na grupy, natomiast ten wskaźnik wymaga mierzenia globalnego. Prosimy o wskazówki.</w:t>
            </w:r>
          </w:p>
        </w:tc>
        <w:tc>
          <w:tcPr>
            <w:tcW w:w="6521" w:type="dxa"/>
          </w:tcPr>
          <w:p w14:paraId="687ECB7F" w14:textId="77777777" w:rsidR="00863B0F" w:rsidRPr="00895F82" w:rsidRDefault="00CB6928" w:rsidP="00863B0F">
            <w:pPr>
              <w:pStyle w:val="NormalnyWeb"/>
              <w:jc w:val="both"/>
              <w:rPr>
                <w:rFonts w:asciiTheme="minorHAnsi" w:hAnsiTheme="minorHAnsi"/>
              </w:rPr>
            </w:pPr>
            <w:r>
              <w:rPr>
                <w:rFonts w:asciiTheme="minorHAnsi" w:hAnsiTheme="minorHAnsi"/>
                <w:b/>
              </w:rPr>
              <w:t>7</w:t>
            </w:r>
            <w:r w:rsidR="00901FCA" w:rsidRPr="00895F82">
              <w:rPr>
                <w:rFonts w:asciiTheme="minorHAnsi" w:hAnsiTheme="minorHAnsi"/>
                <w:b/>
              </w:rPr>
              <w:t xml:space="preserve">. </w:t>
            </w:r>
            <w:r w:rsidR="00863B0F" w:rsidRPr="00895F82">
              <w:rPr>
                <w:rFonts w:asciiTheme="minorHAnsi" w:hAnsiTheme="minorHAnsi"/>
              </w:rPr>
              <w:t>Na podstawie zapisów w pkt. 12,</w:t>
            </w:r>
            <w:r>
              <w:rPr>
                <w:rFonts w:asciiTheme="minorHAnsi" w:hAnsiTheme="minorHAnsi"/>
              </w:rPr>
              <w:t xml:space="preserve"> </w:t>
            </w:r>
            <w:r w:rsidR="00863B0F" w:rsidRPr="00895F82">
              <w:rPr>
                <w:rFonts w:asciiTheme="minorHAnsi" w:hAnsiTheme="minorHAnsi"/>
              </w:rPr>
              <w:t>13,</w:t>
            </w:r>
            <w:r>
              <w:rPr>
                <w:rFonts w:asciiTheme="minorHAnsi" w:hAnsiTheme="minorHAnsi"/>
              </w:rPr>
              <w:t xml:space="preserve"> </w:t>
            </w:r>
            <w:r w:rsidR="00863B0F" w:rsidRPr="00895F82">
              <w:rPr>
                <w:rFonts w:asciiTheme="minorHAnsi" w:hAnsiTheme="minorHAnsi"/>
              </w:rPr>
              <w:t xml:space="preserve">14 Zał. nr 12 do Regulaminu konkursu 7.2 odsetek osób pracujących, łącznie </w:t>
            </w:r>
            <w:r w:rsidR="00895F82">
              <w:rPr>
                <w:rFonts w:asciiTheme="minorHAnsi" w:hAnsiTheme="minorHAnsi"/>
              </w:rPr>
              <w:br/>
            </w:r>
            <w:r w:rsidR="00863B0F" w:rsidRPr="00895F82">
              <w:rPr>
                <w:rFonts w:asciiTheme="minorHAnsi" w:hAnsiTheme="minorHAnsi"/>
              </w:rPr>
              <w:t xml:space="preserve">z prowadzącymi działalność na własny rachunek po opuszczeniu programu powinien wynosić </w:t>
            </w:r>
            <w:r w:rsidR="00863B0F" w:rsidRPr="00895F82">
              <w:rPr>
                <w:rFonts w:asciiTheme="minorHAnsi" w:hAnsiTheme="minorHAnsi"/>
                <w:b/>
                <w:bCs/>
              </w:rPr>
              <w:t>minimum 53</w:t>
            </w:r>
            <w:r w:rsidR="00D201F6" w:rsidRPr="00D201F6">
              <w:rPr>
                <w:rFonts w:asciiTheme="minorHAnsi" w:hAnsiTheme="minorHAnsi"/>
                <w:b/>
                <w:bCs/>
              </w:rPr>
              <w:t>%</w:t>
            </w:r>
            <w:r w:rsidR="00863B0F" w:rsidRPr="00895F82">
              <w:rPr>
                <w:rFonts w:asciiTheme="minorHAnsi" w:hAnsiTheme="minorHAnsi"/>
                <w:b/>
                <w:bCs/>
              </w:rPr>
              <w:t xml:space="preserve"> osób </w:t>
            </w:r>
            <w:r w:rsidR="00863B0F" w:rsidRPr="00895F82">
              <w:rPr>
                <w:rFonts w:asciiTheme="minorHAnsi" w:hAnsiTheme="minorHAnsi"/>
              </w:rPr>
              <w:t xml:space="preserve">bezrobotnych/lub biernych zawodowo objętych  wsparciem </w:t>
            </w:r>
            <w:r w:rsidR="00895F82">
              <w:rPr>
                <w:rFonts w:asciiTheme="minorHAnsi" w:hAnsiTheme="minorHAnsi"/>
              </w:rPr>
              <w:br/>
            </w:r>
            <w:r w:rsidR="00863B0F" w:rsidRPr="00895F82">
              <w:rPr>
                <w:rFonts w:asciiTheme="minorHAnsi" w:hAnsiTheme="minorHAnsi"/>
              </w:rPr>
              <w:t xml:space="preserve">w projekcie w ramach wskaźników produktu </w:t>
            </w:r>
            <w:r w:rsidR="00863B0F" w:rsidRPr="00895F82">
              <w:rPr>
                <w:rFonts w:asciiTheme="minorHAnsi" w:hAnsiTheme="minorHAnsi"/>
                <w:i/>
                <w:iCs/>
              </w:rPr>
              <w:t>"Liczba osób bezrobotnych, w tym długotrwale bezrobotnych, objętych wsparciem w programie</w:t>
            </w:r>
            <w:r w:rsidR="00863B0F" w:rsidRPr="00895F82">
              <w:rPr>
                <w:rFonts w:asciiTheme="minorHAnsi" w:hAnsiTheme="minorHAnsi"/>
              </w:rPr>
              <w:t xml:space="preserve"> oraz</w:t>
            </w:r>
            <w:r w:rsidR="00863B0F" w:rsidRPr="00895F82">
              <w:rPr>
                <w:rFonts w:asciiTheme="minorHAnsi" w:hAnsiTheme="minorHAnsi"/>
                <w:i/>
                <w:iCs/>
              </w:rPr>
              <w:t xml:space="preserve"> Liczba osób biern</w:t>
            </w:r>
            <w:r w:rsidR="00895F82">
              <w:rPr>
                <w:rFonts w:asciiTheme="minorHAnsi" w:hAnsiTheme="minorHAnsi"/>
                <w:i/>
                <w:iCs/>
              </w:rPr>
              <w:t xml:space="preserve">ych zawodowo objętych wsparciem </w:t>
            </w:r>
            <w:r w:rsidR="00863B0F" w:rsidRPr="00895F82">
              <w:rPr>
                <w:rFonts w:asciiTheme="minorHAnsi" w:hAnsiTheme="minorHAnsi"/>
                <w:i/>
                <w:iCs/>
              </w:rPr>
              <w:t xml:space="preserve">w programie(..)", </w:t>
            </w:r>
            <w:r w:rsidR="00863B0F" w:rsidRPr="00895F82">
              <w:rPr>
                <w:rFonts w:asciiTheme="minorHAnsi" w:hAnsiTheme="minorHAnsi"/>
              </w:rPr>
              <w:t>przy czym nie ma znaczenia</w:t>
            </w:r>
            <w:r w:rsidR="00863B0F" w:rsidRPr="00895F82">
              <w:rPr>
                <w:rFonts w:asciiTheme="minorHAnsi" w:hAnsiTheme="minorHAnsi"/>
                <w:i/>
                <w:iCs/>
              </w:rPr>
              <w:t xml:space="preserve"> </w:t>
            </w:r>
            <w:r w:rsidR="00863B0F" w:rsidRPr="00895F82">
              <w:rPr>
                <w:rFonts w:asciiTheme="minorHAnsi" w:hAnsiTheme="minorHAnsi"/>
              </w:rPr>
              <w:t>to, iż</w:t>
            </w:r>
            <w:r w:rsidR="00863B0F" w:rsidRPr="00895F82">
              <w:rPr>
                <w:rFonts w:asciiTheme="minorHAnsi" w:hAnsiTheme="minorHAnsi"/>
                <w:i/>
                <w:iCs/>
              </w:rPr>
              <w:t xml:space="preserve"> </w:t>
            </w:r>
            <w:r w:rsidR="00863B0F" w:rsidRPr="00895F82">
              <w:rPr>
                <w:rFonts w:asciiTheme="minorHAnsi" w:hAnsiTheme="minorHAnsi"/>
              </w:rPr>
              <w:t xml:space="preserve">jeden uczestnik projektu przynależy do kilku grup, w kierunku których kierowane jest wsparcie projektowe. </w:t>
            </w:r>
          </w:p>
          <w:p w14:paraId="6351B4D4" w14:textId="77777777" w:rsidR="00863B0F" w:rsidRPr="00895F82" w:rsidRDefault="00863B0F" w:rsidP="00863B0F">
            <w:pPr>
              <w:pStyle w:val="NormalnyWeb"/>
              <w:jc w:val="both"/>
              <w:rPr>
                <w:rFonts w:asciiTheme="minorHAnsi" w:hAnsiTheme="minorHAnsi"/>
              </w:rPr>
            </w:pPr>
            <w:r w:rsidRPr="00895F82">
              <w:rPr>
                <w:rFonts w:asciiTheme="minorHAnsi" w:hAnsiTheme="minorHAnsi"/>
              </w:rPr>
              <w:t xml:space="preserve">Powyższy wskaźnik dotyczy zmiany statusu na rynku pracy po opuszczeniu programu, w stosunku do sytuacji w momencie przystąpienia do interwencji EFS, przy czym wskaźnik mierzony jest do 4 tygodni od zakończenia przez uczestnika udziału </w:t>
            </w:r>
            <w:r w:rsidR="00895F82">
              <w:rPr>
                <w:rFonts w:asciiTheme="minorHAnsi" w:hAnsiTheme="minorHAnsi"/>
              </w:rPr>
              <w:br/>
            </w:r>
            <w:r w:rsidRPr="00895F82">
              <w:rPr>
                <w:rFonts w:asciiTheme="minorHAnsi" w:hAnsiTheme="minorHAnsi"/>
              </w:rPr>
              <w:t>w projekcie. Należy mieć przy tym na uwadze, iż wskaźniki dotyczące efektywności zatrudnieniowej mierzone są osobno.</w:t>
            </w:r>
          </w:p>
          <w:p w14:paraId="50932638" w14:textId="77777777" w:rsidR="00863B0F" w:rsidRPr="00895F82" w:rsidRDefault="00863B0F" w:rsidP="000A15F6">
            <w:pPr>
              <w:jc w:val="both"/>
              <w:rPr>
                <w:b/>
                <w:sz w:val="24"/>
                <w:szCs w:val="24"/>
              </w:rPr>
            </w:pPr>
          </w:p>
        </w:tc>
      </w:tr>
      <w:tr w:rsidR="00243224" w:rsidRPr="00B57D22" w14:paraId="56B06D27" w14:textId="77777777" w:rsidTr="007935FB">
        <w:tc>
          <w:tcPr>
            <w:tcW w:w="7054" w:type="dxa"/>
          </w:tcPr>
          <w:p w14:paraId="5C95B637" w14:textId="77777777" w:rsidR="00243224" w:rsidRPr="00895F82" w:rsidRDefault="00CB6928" w:rsidP="00243224">
            <w:pPr>
              <w:jc w:val="both"/>
              <w:rPr>
                <w:sz w:val="24"/>
                <w:szCs w:val="24"/>
              </w:rPr>
            </w:pPr>
            <w:r>
              <w:rPr>
                <w:b/>
                <w:sz w:val="24"/>
                <w:szCs w:val="24"/>
              </w:rPr>
              <w:t>8</w:t>
            </w:r>
            <w:r w:rsidR="00901FCA" w:rsidRPr="00895F82">
              <w:rPr>
                <w:b/>
                <w:sz w:val="24"/>
                <w:szCs w:val="24"/>
              </w:rPr>
              <w:t xml:space="preserve">. </w:t>
            </w:r>
            <w:r w:rsidR="00243224" w:rsidRPr="00895F82">
              <w:rPr>
                <w:sz w:val="24"/>
                <w:szCs w:val="24"/>
              </w:rPr>
              <w:t>Czy kryterium bezwzględne brzmiące jak poniżej należy odnieść do 100% grupy docelowej? To znaczy, czy każda z osób uczestniczących w kursach zawodowych musi uzyskać kwalifikacje, czyli de facto wziąć udział w kursie i zdać egzamin czy dopuszczają Państwo możliwość, by jakiś odsetek osób kwalifikacji nie uzyskał. Inną kwestią pozostaje to, że nie wszystkie osoby muszą korzystać z kursów zawodowych. Czy poprawnie rozumiemy zapisy kryteriów?</w:t>
            </w:r>
          </w:p>
          <w:p w14:paraId="767C4195" w14:textId="77777777" w:rsidR="00243224" w:rsidRPr="00895F82" w:rsidRDefault="00243224" w:rsidP="00243224">
            <w:pPr>
              <w:jc w:val="both"/>
              <w:rPr>
                <w:sz w:val="24"/>
                <w:szCs w:val="24"/>
              </w:rPr>
            </w:pPr>
            <w:r w:rsidRPr="00895F82">
              <w:rPr>
                <w:sz w:val="24"/>
                <w:szCs w:val="24"/>
              </w:rPr>
              <w:br/>
              <w:t>Brzmienie kryterium:</w:t>
            </w:r>
          </w:p>
          <w:p w14:paraId="17ECD6A9" w14:textId="77777777" w:rsidR="00243224" w:rsidRPr="00895F82" w:rsidRDefault="00243224" w:rsidP="00243224">
            <w:pPr>
              <w:jc w:val="both"/>
              <w:rPr>
                <w:sz w:val="24"/>
                <w:szCs w:val="24"/>
              </w:rPr>
            </w:pPr>
            <w:r w:rsidRPr="00895F82">
              <w:rPr>
                <w:sz w:val="24"/>
                <w:szCs w:val="24"/>
              </w:rPr>
              <w:br/>
              <w:t xml:space="preserve">Usługi szkoleniowe realizowane w ramach projektu są świadczone przez instytucje posiadające wpis do Rejestru Instytucji Szkoleniowych prowadzonego przez Wojewódzki Urząd Pracy właściwy ze względu </w:t>
            </w:r>
            <w:r w:rsidRPr="00895F82">
              <w:rPr>
                <w:sz w:val="24"/>
                <w:szCs w:val="24"/>
              </w:rPr>
              <w:lastRenderedPageBreak/>
              <w:t>na siedzibę instytucji szkoleniowej. Efektem szkolenia jest uzyskanie kwalifikacji lub nabycie kompetencji potwierdzonych odpowiednim dokumentem (np. certyfikatem), w rozumieniu Wytycznych Ministra Infrastruktury i Rozwoju w zakresie monitorowania postępu rzeczowego realizacji programów operacyjnych na lata 2014-2020. Uzyskanie kwalifikacji lub kompetencji jest każdorazowo weryfikowane poprzez przeprowadzenie odpowiedniego ich sprawdzenia (np. w formie egzaminu).</w:t>
            </w:r>
          </w:p>
        </w:tc>
        <w:tc>
          <w:tcPr>
            <w:tcW w:w="6521" w:type="dxa"/>
          </w:tcPr>
          <w:p w14:paraId="73F3C9AA" w14:textId="77777777" w:rsidR="002668EA" w:rsidRPr="00AB309F" w:rsidRDefault="00CB6928" w:rsidP="002668EA">
            <w:pPr>
              <w:spacing w:before="120"/>
              <w:jc w:val="both"/>
              <w:rPr>
                <w:rFonts w:eastAsia="Times New Roman" w:cs="Times New Roman"/>
                <w:sz w:val="24"/>
                <w:szCs w:val="24"/>
                <w:lang w:eastAsia="pl-PL"/>
              </w:rPr>
            </w:pPr>
            <w:r>
              <w:rPr>
                <w:b/>
                <w:color w:val="000000" w:themeColor="text1"/>
                <w:sz w:val="24"/>
                <w:szCs w:val="24"/>
              </w:rPr>
              <w:lastRenderedPageBreak/>
              <w:t>8</w:t>
            </w:r>
            <w:r w:rsidR="00901FCA" w:rsidRPr="00895F82">
              <w:rPr>
                <w:b/>
                <w:color w:val="000000" w:themeColor="text1"/>
                <w:sz w:val="24"/>
                <w:szCs w:val="24"/>
              </w:rPr>
              <w:t xml:space="preserve">. </w:t>
            </w:r>
            <w:r w:rsidR="002668EA" w:rsidRPr="00895F82">
              <w:rPr>
                <w:color w:val="000000" w:themeColor="text1"/>
                <w:sz w:val="24"/>
                <w:szCs w:val="24"/>
              </w:rPr>
              <w:t xml:space="preserve">Wnioskodawca planuje wsparcie w ramach projektu adekwatnie do potrzeb grupy docelowej oraz rynku pracy m. in  poprzez wybór form wsparcia określonych w pkt. 2 </w:t>
            </w:r>
            <w:r w:rsidR="002668EA" w:rsidRPr="00895F82">
              <w:rPr>
                <w:i/>
                <w:color w:val="000000" w:themeColor="text1"/>
                <w:sz w:val="24"/>
                <w:szCs w:val="24"/>
              </w:rPr>
              <w:t>Regulaminu konkursu.</w:t>
            </w:r>
            <w:r w:rsidR="002668EA">
              <w:rPr>
                <w:i/>
                <w:color w:val="000000" w:themeColor="text1"/>
                <w:sz w:val="24"/>
                <w:szCs w:val="24"/>
              </w:rPr>
              <w:t xml:space="preserve"> </w:t>
            </w:r>
            <w:r w:rsidR="002668EA" w:rsidRPr="00AB309F">
              <w:rPr>
                <w:rFonts w:eastAsia="Times New Roman" w:cs="Times New Roman"/>
                <w:sz w:val="24"/>
                <w:szCs w:val="24"/>
                <w:lang w:eastAsia="pl-PL"/>
              </w:rPr>
              <w:t xml:space="preserve">Zobowiązany jest on wówczas do przeprowadzenia szczegółowej analizy potrzeb, predyspozycji i oczekiwań grupy docelowej, w tym również pod kątem szkoleń, których efektem jest uzyskanie kwalifikacji lub nabycie kompetencji. </w:t>
            </w:r>
            <w:r w:rsidR="002668EA" w:rsidRPr="00AB309F">
              <w:rPr>
                <w:rFonts w:eastAsia="Times New Roman" w:cs="Times New Roman"/>
                <w:b/>
                <w:sz w:val="24"/>
                <w:szCs w:val="24"/>
                <w:lang w:eastAsia="pl-PL"/>
              </w:rPr>
              <w:t xml:space="preserve">Na podstawie wniosków z dokonanej analizy </w:t>
            </w:r>
            <w:r w:rsidR="00964F31" w:rsidRPr="00AB309F">
              <w:rPr>
                <w:rFonts w:eastAsia="Times New Roman" w:cs="Times New Roman"/>
                <w:b/>
                <w:sz w:val="24"/>
                <w:szCs w:val="24"/>
                <w:lang w:eastAsia="pl-PL"/>
              </w:rPr>
              <w:t>Projektodawca</w:t>
            </w:r>
            <w:r w:rsidR="002668EA" w:rsidRPr="00AB309F">
              <w:rPr>
                <w:rFonts w:eastAsia="Times New Roman" w:cs="Times New Roman"/>
                <w:b/>
                <w:sz w:val="24"/>
                <w:szCs w:val="24"/>
                <w:lang w:eastAsia="pl-PL"/>
              </w:rPr>
              <w:t xml:space="preserve"> ma możliwość skierowania wsparcia do dwóch zróżnicowanych ilościowo grup uczestników projektu, wyodrębnionych ze względu na uzyskane kwalifikacje lub kompetencje.</w:t>
            </w:r>
            <w:r w:rsidR="002668EA" w:rsidRPr="00AB309F">
              <w:rPr>
                <w:rFonts w:eastAsia="Times New Roman" w:cs="Times New Roman"/>
                <w:sz w:val="24"/>
                <w:szCs w:val="24"/>
                <w:lang w:eastAsia="pl-PL"/>
              </w:rPr>
              <w:t xml:space="preserve"> </w:t>
            </w:r>
          </w:p>
          <w:p w14:paraId="6A8C6868" w14:textId="77777777" w:rsidR="002668EA" w:rsidRPr="00AB309F" w:rsidRDefault="002668EA" w:rsidP="002668EA">
            <w:pPr>
              <w:spacing w:before="120"/>
              <w:jc w:val="both"/>
              <w:rPr>
                <w:rFonts w:eastAsia="Times New Roman" w:cs="Times New Roman"/>
                <w:sz w:val="24"/>
                <w:szCs w:val="24"/>
                <w:lang w:eastAsia="pl-PL"/>
              </w:rPr>
            </w:pPr>
            <w:r w:rsidRPr="00AB309F">
              <w:rPr>
                <w:rFonts w:eastAsia="Times New Roman" w:cs="Times New Roman"/>
                <w:sz w:val="24"/>
                <w:szCs w:val="24"/>
                <w:lang w:eastAsia="pl-PL"/>
              </w:rPr>
              <w:t xml:space="preserve">Należy jednakże pamiętać, iż konieczne jest spełnienie </w:t>
            </w:r>
            <w:r w:rsidRPr="00AB309F">
              <w:rPr>
                <w:rFonts w:eastAsia="Times New Roman" w:cs="Times New Roman"/>
                <w:sz w:val="24"/>
                <w:szCs w:val="24"/>
                <w:lang w:eastAsia="pl-PL"/>
              </w:rPr>
              <w:lastRenderedPageBreak/>
              <w:t xml:space="preserve">wskaźnika obligatoryjnego </w:t>
            </w:r>
            <w:r w:rsidRPr="00AB309F">
              <w:rPr>
                <w:rFonts w:eastAsia="Times New Roman" w:cs="Times New Roman"/>
                <w:i/>
                <w:sz w:val="24"/>
                <w:szCs w:val="24"/>
                <w:lang w:eastAsia="pl-PL"/>
              </w:rPr>
              <w:t>Liczba osób, które uzyskały kwalifikacje po opuszczeniu programu</w:t>
            </w:r>
            <w:r w:rsidRPr="00AB309F">
              <w:rPr>
                <w:rFonts w:eastAsia="Times New Roman" w:cs="Times New Roman"/>
                <w:sz w:val="24"/>
                <w:szCs w:val="24"/>
                <w:lang w:eastAsia="pl-PL"/>
              </w:rPr>
              <w:t xml:space="preserve"> na poziomie min. 30% osób bezrobotnych i/lub biernych zawodowo objętych wsparciem w projekcie.  </w:t>
            </w:r>
          </w:p>
          <w:p w14:paraId="278E3C1E" w14:textId="77777777" w:rsidR="002668EA" w:rsidRPr="00AB309F" w:rsidRDefault="002668EA" w:rsidP="002668EA">
            <w:pPr>
              <w:spacing w:before="120"/>
              <w:jc w:val="both"/>
              <w:rPr>
                <w:rFonts w:eastAsia="Times New Roman" w:cs="Times New Roman"/>
                <w:sz w:val="24"/>
                <w:szCs w:val="24"/>
                <w:lang w:eastAsia="pl-PL"/>
              </w:rPr>
            </w:pPr>
            <w:r w:rsidRPr="00AB309F">
              <w:rPr>
                <w:rFonts w:eastAsia="Times New Roman" w:cs="Times New Roman"/>
                <w:sz w:val="24"/>
                <w:szCs w:val="24"/>
                <w:lang w:eastAsia="pl-PL"/>
              </w:rPr>
              <w:t>Co oznacza, że co najmniej 30% grupy docelowej musi zakończyć szkolenia uzyskaniem kwalifikacji, których osiągnięcie zostało sprawdzone w walidacji oraz formalnie potwierdzone przez instytucję uprawnioną do certyfikowania.</w:t>
            </w:r>
          </w:p>
          <w:p w14:paraId="16A518AD" w14:textId="77777777" w:rsidR="00243224" w:rsidRPr="00964F31" w:rsidRDefault="002668EA" w:rsidP="00964F31">
            <w:pPr>
              <w:spacing w:before="120"/>
              <w:jc w:val="both"/>
              <w:rPr>
                <w:rFonts w:eastAsia="Times New Roman" w:cs="Times New Roman"/>
                <w:color w:val="FF0000"/>
                <w:sz w:val="24"/>
                <w:szCs w:val="24"/>
                <w:lang w:eastAsia="pl-PL"/>
              </w:rPr>
            </w:pPr>
            <w:r w:rsidRPr="00AB309F">
              <w:rPr>
                <w:rFonts w:cs="Arial"/>
                <w:sz w:val="24"/>
                <w:szCs w:val="24"/>
              </w:rPr>
              <w:t xml:space="preserve">Niemniej jednak, rekomenduje się, aby dla jak największej liczby uczestników szkoleń/kursów oferowana była możliwość uzyskania certyfikatów, które są powszechnie rozpoznawalne przez pracodawców na rynku pracy, co wpłynie pozytywnie na wiarygodność uzyskanych kwalifikacji, zwłaszcza w kontekście poruszania się uczestników projektów po rynku pracy </w:t>
            </w:r>
            <w:r w:rsidRPr="00AB309F">
              <w:rPr>
                <w:rFonts w:cs="Arial"/>
                <w:sz w:val="24"/>
                <w:szCs w:val="24"/>
              </w:rPr>
              <w:br/>
              <w:t>i zwiększenie szans na znalezienie zatrudnienia.</w:t>
            </w:r>
          </w:p>
        </w:tc>
      </w:tr>
      <w:tr w:rsidR="006A567B" w:rsidRPr="00B57D22" w14:paraId="59F155D5" w14:textId="77777777" w:rsidTr="007935FB">
        <w:tc>
          <w:tcPr>
            <w:tcW w:w="7054" w:type="dxa"/>
          </w:tcPr>
          <w:p w14:paraId="495855DF" w14:textId="77777777" w:rsidR="006A567B" w:rsidRPr="0004357E" w:rsidRDefault="006A567B" w:rsidP="0004357E">
            <w:pPr>
              <w:jc w:val="both"/>
              <w:rPr>
                <w:sz w:val="24"/>
                <w:szCs w:val="24"/>
              </w:rPr>
            </w:pPr>
            <w:r w:rsidRPr="0004357E">
              <w:rPr>
                <w:b/>
                <w:sz w:val="24"/>
                <w:szCs w:val="24"/>
              </w:rPr>
              <w:lastRenderedPageBreak/>
              <w:t xml:space="preserve">9. </w:t>
            </w:r>
            <w:r w:rsidR="0004357E" w:rsidRPr="0004357E">
              <w:rPr>
                <w:sz w:val="24"/>
                <w:szCs w:val="24"/>
              </w:rPr>
              <w:t xml:space="preserve">Czy jest określony preferowany termin rozpoczęcia projektu oraz termin wymagany do którego projekt powinien się zakończyć? </w:t>
            </w:r>
            <w:r w:rsidR="0004357E">
              <w:rPr>
                <w:sz w:val="24"/>
                <w:szCs w:val="24"/>
              </w:rPr>
              <w:br/>
              <w:t>W</w:t>
            </w:r>
            <w:r w:rsidR="0004357E" w:rsidRPr="0004357E">
              <w:rPr>
                <w:sz w:val="24"/>
                <w:szCs w:val="24"/>
              </w:rPr>
              <w:t xml:space="preserve"> Instrukcji przygotowania wniosku o dofinansowanie jest podany chyba tylko termin przykładowy "</w:t>
            </w:r>
            <w:r w:rsidR="0004357E" w:rsidRPr="0004357E">
              <w:rPr>
                <w:rStyle w:val="Uwydatnienie"/>
                <w:rFonts w:ascii="Calibri" w:eastAsia="Calibri" w:hAnsi="Calibri"/>
                <w:iCs w:val="0"/>
                <w:noProof/>
                <w:sz w:val="24"/>
                <w:szCs w:val="24"/>
              </w:rPr>
              <w:t>w tym przypad</w:t>
            </w:r>
            <w:r w:rsidR="0004357E">
              <w:rPr>
                <w:rStyle w:val="Uwydatnienie"/>
                <w:rFonts w:ascii="Calibri" w:eastAsia="Calibri" w:hAnsi="Calibri"/>
                <w:iCs w:val="0"/>
                <w:noProof/>
                <w:sz w:val="24"/>
                <w:szCs w:val="24"/>
              </w:rPr>
              <w:t xml:space="preserve">ku maksymalnie 29.06.2018 rok" </w:t>
            </w:r>
            <w:r w:rsidR="0004357E" w:rsidRPr="0004357E">
              <w:rPr>
                <w:rStyle w:val="Uwydatnienie"/>
                <w:rFonts w:ascii="Calibri" w:eastAsia="Calibri" w:hAnsi="Calibri"/>
                <w:i w:val="0"/>
                <w:iCs w:val="0"/>
                <w:noProof/>
                <w:sz w:val="24"/>
                <w:szCs w:val="24"/>
              </w:rPr>
              <w:t>(na stronie 15).</w:t>
            </w:r>
          </w:p>
        </w:tc>
        <w:tc>
          <w:tcPr>
            <w:tcW w:w="6521" w:type="dxa"/>
          </w:tcPr>
          <w:p w14:paraId="5CE32AA5" w14:textId="77777777" w:rsidR="0004357E" w:rsidRPr="0004357E" w:rsidRDefault="006A567B" w:rsidP="0004357E">
            <w:pPr>
              <w:pStyle w:val="NormalnyWeb"/>
              <w:jc w:val="both"/>
              <w:rPr>
                <w:rFonts w:asciiTheme="minorHAnsi" w:hAnsiTheme="minorHAnsi"/>
              </w:rPr>
            </w:pPr>
            <w:r w:rsidRPr="0004357E">
              <w:rPr>
                <w:rFonts w:asciiTheme="minorHAnsi" w:hAnsiTheme="minorHAnsi"/>
                <w:b/>
                <w:color w:val="000000" w:themeColor="text1"/>
              </w:rPr>
              <w:t xml:space="preserve">9. </w:t>
            </w:r>
            <w:r w:rsidR="0004357E" w:rsidRPr="0004357E">
              <w:rPr>
                <w:rFonts w:asciiTheme="minorHAnsi" w:hAnsiTheme="minorHAnsi"/>
              </w:rPr>
              <w:t>Zgodnie z zapisem w pkt 11 Regulaminu konkursu:</w:t>
            </w:r>
            <w:r w:rsidR="0004357E">
              <w:rPr>
                <w:rFonts w:asciiTheme="minorHAnsi" w:hAnsiTheme="minorHAnsi"/>
              </w:rPr>
              <w:t xml:space="preserve"> </w:t>
            </w:r>
            <w:r w:rsidR="0004357E" w:rsidRPr="0004357E">
              <w:rPr>
                <w:rFonts w:asciiTheme="minorHAnsi" w:hAnsiTheme="minorHAnsi"/>
              </w:rPr>
              <w:t>"(...)</w:t>
            </w:r>
            <w:r w:rsidR="0004357E" w:rsidRPr="0004357E">
              <w:rPr>
                <w:rFonts w:asciiTheme="minorHAnsi" w:hAnsiTheme="minorHAnsi"/>
                <w:iCs/>
              </w:rPr>
              <w:t xml:space="preserve">Początkiem okresu kwalifikowalności wydatków jest data rozpoczęcia okresu realizacji projektu wskazana we wniosku </w:t>
            </w:r>
            <w:r w:rsidR="0004357E">
              <w:rPr>
                <w:rFonts w:asciiTheme="minorHAnsi" w:hAnsiTheme="minorHAnsi"/>
                <w:iCs/>
              </w:rPr>
              <w:br/>
            </w:r>
            <w:r w:rsidR="0004357E" w:rsidRPr="0004357E">
              <w:rPr>
                <w:rFonts w:asciiTheme="minorHAnsi" w:hAnsiTheme="minorHAnsi"/>
                <w:iCs/>
              </w:rPr>
              <w:t xml:space="preserve">o dofinansowanie jednak </w:t>
            </w:r>
            <w:r w:rsidR="0004357E" w:rsidRPr="0004357E">
              <w:rPr>
                <w:rFonts w:asciiTheme="minorHAnsi" w:hAnsiTheme="minorHAnsi"/>
                <w:b/>
                <w:bCs/>
                <w:iCs/>
              </w:rPr>
              <w:t>nie wcześniej niż 01.01.2016 r</w:t>
            </w:r>
            <w:r w:rsidR="0004357E" w:rsidRPr="0004357E">
              <w:rPr>
                <w:rFonts w:asciiTheme="minorHAnsi" w:hAnsiTheme="minorHAnsi"/>
                <w:iCs/>
              </w:rPr>
              <w:t>.(...)".</w:t>
            </w:r>
          </w:p>
          <w:p w14:paraId="11E7E598" w14:textId="77777777" w:rsidR="0004357E" w:rsidRPr="0004357E" w:rsidRDefault="0004357E" w:rsidP="0004357E">
            <w:pPr>
              <w:pStyle w:val="NormalnyWeb"/>
              <w:jc w:val="both"/>
              <w:rPr>
                <w:rFonts w:asciiTheme="minorHAnsi" w:hAnsiTheme="minorHAnsi"/>
              </w:rPr>
            </w:pPr>
            <w:r w:rsidRPr="0004357E">
              <w:rPr>
                <w:rFonts w:asciiTheme="minorHAnsi" w:hAnsiTheme="minorHAnsi"/>
                <w:iCs/>
              </w:rPr>
              <w:t xml:space="preserve">IOK nie wskazuje terminu zakończenia realizacji projektu </w:t>
            </w:r>
            <w:r>
              <w:rPr>
                <w:rFonts w:asciiTheme="minorHAnsi" w:hAnsiTheme="minorHAnsi"/>
                <w:iCs/>
              </w:rPr>
              <w:br/>
            </w:r>
            <w:r w:rsidRPr="0004357E">
              <w:rPr>
                <w:rFonts w:asciiTheme="minorHAnsi" w:hAnsiTheme="minorHAnsi"/>
                <w:iCs/>
              </w:rPr>
              <w:t xml:space="preserve">w ramach Działania 7.2 RPO WO 2014-2020. </w:t>
            </w:r>
            <w:r w:rsidRPr="0004357E">
              <w:rPr>
                <w:rFonts w:asciiTheme="minorHAnsi" w:hAnsiTheme="minorHAnsi"/>
                <w:iCs/>
              </w:rPr>
              <w:br/>
              <w:t>Wnioskodawca określa ten termin samodzielnie, biorąc pod uwagę wszelkie możliwe aspekty mogące mieć wpływ na jak najbardziej racjonalne podejście w tym zakresie.</w:t>
            </w:r>
          </w:p>
          <w:p w14:paraId="085FB00B" w14:textId="77777777" w:rsidR="006A567B" w:rsidRPr="0004357E" w:rsidRDefault="0004357E" w:rsidP="0004357E">
            <w:pPr>
              <w:pStyle w:val="NormalnyWeb"/>
              <w:jc w:val="both"/>
              <w:rPr>
                <w:rFonts w:asciiTheme="minorHAnsi" w:hAnsiTheme="minorHAnsi"/>
              </w:rPr>
            </w:pPr>
            <w:r w:rsidRPr="0004357E">
              <w:rPr>
                <w:rFonts w:asciiTheme="minorHAnsi" w:hAnsiTheme="minorHAnsi"/>
              </w:rPr>
              <w:t>Ocena pod kątem zasadności planowanych w projekcie terminów mogących mieć wpływ na osiągniecie zamierzonych rezultatów - zostanie dokonana na etapie Komisji Oceny Projektów.</w:t>
            </w:r>
          </w:p>
        </w:tc>
      </w:tr>
      <w:tr w:rsidR="00405D8D" w:rsidRPr="00B57D22" w14:paraId="2C2BC95E" w14:textId="77777777" w:rsidTr="007935FB">
        <w:tc>
          <w:tcPr>
            <w:tcW w:w="7054" w:type="dxa"/>
          </w:tcPr>
          <w:p w14:paraId="1A76C34B" w14:textId="77777777" w:rsidR="00405D8D" w:rsidRPr="00405D8D" w:rsidRDefault="00405D8D" w:rsidP="00405D8D">
            <w:pPr>
              <w:pStyle w:val="NormalnyWeb"/>
              <w:rPr>
                <w:rFonts w:asciiTheme="minorHAnsi" w:hAnsiTheme="minorHAnsi"/>
              </w:rPr>
            </w:pPr>
            <w:r w:rsidRPr="00405D8D">
              <w:rPr>
                <w:rFonts w:asciiTheme="minorHAnsi" w:hAnsiTheme="minorHAnsi"/>
                <w:b/>
              </w:rPr>
              <w:t xml:space="preserve">10. </w:t>
            </w:r>
            <w:r w:rsidRPr="00405D8D">
              <w:rPr>
                <w:rFonts w:asciiTheme="minorHAnsi" w:eastAsia="Calibri" w:hAnsiTheme="minorHAnsi"/>
                <w:noProof/>
              </w:rPr>
              <w:t xml:space="preserve">Czy w przypadku projektu partnerskiego, jeżeli dany partner nie jest odpowiedzialny za osiagnięcie danego wskaźnika, to czy prawdłowym jest wybranie tylko tych wskaźników, za monitoring których odpowiada czy istnieje konieczność wyboru wszystkich wskaźników i wpisanie wartości "0" dla tych wskaźników, których </w:t>
            </w:r>
            <w:r w:rsidRPr="00405D8D">
              <w:rPr>
                <w:rFonts w:asciiTheme="minorHAnsi" w:eastAsia="Calibri" w:hAnsiTheme="minorHAnsi"/>
                <w:noProof/>
              </w:rPr>
              <w:lastRenderedPageBreak/>
              <w:t>dany partner nie monitoruje?</w:t>
            </w:r>
          </w:p>
        </w:tc>
        <w:tc>
          <w:tcPr>
            <w:tcW w:w="6521" w:type="dxa"/>
          </w:tcPr>
          <w:p w14:paraId="592ED1D6" w14:textId="77777777" w:rsidR="00405D8D" w:rsidRPr="00405D8D" w:rsidRDefault="00405D8D" w:rsidP="00405D8D">
            <w:pPr>
              <w:jc w:val="both"/>
              <w:rPr>
                <w:sz w:val="24"/>
                <w:szCs w:val="24"/>
              </w:rPr>
            </w:pPr>
            <w:r w:rsidRPr="00405D8D">
              <w:rPr>
                <w:b/>
                <w:color w:val="000000" w:themeColor="text1"/>
                <w:sz w:val="24"/>
                <w:szCs w:val="24"/>
              </w:rPr>
              <w:lastRenderedPageBreak/>
              <w:t xml:space="preserve">10. </w:t>
            </w:r>
            <w:r w:rsidRPr="00405D8D">
              <w:rPr>
                <w:sz w:val="24"/>
                <w:szCs w:val="24"/>
              </w:rPr>
              <w:t xml:space="preserve">W przypadku projektu partnerskiego, jeżeli dany partner nie jest odpowiedzialny za osiągnięcie danego wskaźnika, to prawidłowym jest wybranie tylko tych wskaźników, za monitoring których odpowiada. </w:t>
            </w:r>
          </w:p>
          <w:p w14:paraId="7434E46B" w14:textId="77777777" w:rsidR="00405D8D" w:rsidRPr="00996F8B" w:rsidRDefault="00405D8D" w:rsidP="00996F8B">
            <w:pPr>
              <w:jc w:val="both"/>
              <w:rPr>
                <w:sz w:val="24"/>
                <w:szCs w:val="24"/>
              </w:rPr>
            </w:pPr>
            <w:r w:rsidRPr="00405D8D">
              <w:rPr>
                <w:sz w:val="24"/>
                <w:szCs w:val="24"/>
              </w:rPr>
              <w:t xml:space="preserve">Należy jednak pamiętać, iż Wnioskodawca jest zobligowany do </w:t>
            </w:r>
            <w:r w:rsidRPr="00405D8D">
              <w:rPr>
                <w:sz w:val="24"/>
                <w:szCs w:val="24"/>
              </w:rPr>
              <w:lastRenderedPageBreak/>
              <w:t xml:space="preserve">wskazania we wniosku o dofinansowanie wszystkich </w:t>
            </w:r>
            <w:r w:rsidRPr="00405D8D">
              <w:rPr>
                <w:sz w:val="24"/>
                <w:szCs w:val="24"/>
                <w:u w:val="single"/>
              </w:rPr>
              <w:t>wskaźników obligatoryjnych</w:t>
            </w:r>
            <w:r w:rsidRPr="00405D8D">
              <w:rPr>
                <w:sz w:val="24"/>
                <w:szCs w:val="24"/>
              </w:rPr>
              <w:t xml:space="preserve">  (w Karcie Lider lub Partnera adekwatnie do przypisanych mu zadań w projekcie) np. dotyczących grupy docelowej. </w:t>
            </w:r>
            <w:r w:rsidRPr="00405D8D">
              <w:rPr>
                <w:rFonts w:ascii="Calibri" w:hAnsi="Calibri"/>
                <w:color w:val="000000"/>
                <w:sz w:val="24"/>
                <w:szCs w:val="24"/>
              </w:rPr>
              <w:t xml:space="preserve">W przypadku, kiedy zakres rzeczowy projektu nie dotyczy danego wskaźnika obligatoryjnego, powinien wykazać jego wartość docelową „0” (np. w przypadku jeżeli projektodawca nie </w:t>
            </w:r>
            <w:r>
              <w:rPr>
                <w:rFonts w:ascii="Calibri" w:hAnsi="Calibri"/>
                <w:color w:val="000000"/>
                <w:sz w:val="24"/>
                <w:szCs w:val="24"/>
              </w:rPr>
              <w:t xml:space="preserve">zakłada w grupie docelowej osób </w:t>
            </w:r>
            <w:r w:rsidRPr="00405D8D">
              <w:rPr>
                <w:rFonts w:ascii="Calibri" w:hAnsi="Calibri"/>
                <w:color w:val="000000"/>
                <w:sz w:val="24"/>
                <w:szCs w:val="24"/>
              </w:rPr>
              <w:t xml:space="preserve">z niepełnosprawnościami, powinien taki wskaźnik wybrać a jego wartość wykazać na poziomie „zero”). </w:t>
            </w:r>
          </w:p>
        </w:tc>
      </w:tr>
    </w:tbl>
    <w:p w14:paraId="26D8F597" w14:textId="77777777" w:rsidR="002E6715" w:rsidRPr="00B57D22" w:rsidRDefault="002E6715">
      <w:pPr>
        <w:rPr>
          <w:sz w:val="24"/>
          <w:szCs w:val="24"/>
        </w:rPr>
      </w:pPr>
    </w:p>
    <w:p w14:paraId="6C525E8C" w14:textId="77777777" w:rsidR="002E6715" w:rsidRPr="00B57D22" w:rsidRDefault="002E6715">
      <w:pPr>
        <w:rPr>
          <w:sz w:val="24"/>
          <w:szCs w:val="24"/>
        </w:rPr>
      </w:pPr>
    </w:p>
    <w:p w14:paraId="2F01FFA5" w14:textId="2792A9C2" w:rsidR="00B57D22" w:rsidRPr="00B57D22" w:rsidRDefault="001D0317">
      <w:pPr>
        <w:rPr>
          <w:sz w:val="24"/>
          <w:szCs w:val="24"/>
        </w:rPr>
      </w:pPr>
      <w:r>
        <w:rPr>
          <w:noProof/>
          <w:sz w:val="24"/>
          <w:szCs w:val="24"/>
          <w:lang w:eastAsia="pl-PL"/>
        </w:rPr>
        <mc:AlternateContent>
          <mc:Choice Requires="wps">
            <w:drawing>
              <wp:inline distT="0" distB="0" distL="0" distR="0" wp14:anchorId="7AB92E3C" wp14:editId="736FEAE1">
                <wp:extent cx="304800" cy="304800"/>
                <wp:effectExtent l="0" t="3810" r="4445" b="0"/>
                <wp:docPr id="3" name="AutoShape 4" descr="file:///%5C%5C172.16.32.4%5Cdata%5CZI%5Cu.pyka%5CPulpit%5CStopka%20RP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B02E2" id="AutoShape 4" o:spid="_x0000_s1026" alt="file:///%5C%5C172.16.32.4%5Cdata%5CZI%5Cu.pyka%5CPulpit%5CStopka%20RP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Q0Pm6JQIAABcEAAAOAAAAAAAAAAAAAAAAAC4CAABkcnMvZTJvRG9jLnhtbFBL&#10;AQItABQABgAIAAAAIQBMoOks2AAAAAMBAAAPAAAAAAAAAAAAAAAAAH8EAABkcnMvZG93bnJldi54&#10;bWxQSwUGAAAAAAQABADzAAAAhAUAAAAA&#10;" filled="f" stroked="f">
                <o:lock v:ext="edit" aspectratio="t"/>
                <w10:anchorlock/>
              </v:rect>
            </w:pict>
          </mc:Fallback>
        </mc:AlternateContent>
      </w:r>
      <w:r>
        <w:rPr>
          <w:noProof/>
          <w:sz w:val="24"/>
          <w:szCs w:val="24"/>
          <w:lang w:eastAsia="pl-PL"/>
        </w:rPr>
        <mc:AlternateContent>
          <mc:Choice Requires="wps">
            <w:drawing>
              <wp:inline distT="0" distB="0" distL="0" distR="0" wp14:anchorId="1A8F105F" wp14:editId="02EFB50E">
                <wp:extent cx="304800" cy="304800"/>
                <wp:effectExtent l="0" t="3810" r="4445" b="0"/>
                <wp:docPr id="2" name="AutoShape 3" descr="file:///%5C%5C172.16.32.4%5Cdata%5CZI%5Cu.pyka%5CPulpit%5CStopka%20RP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C38AF" id="AutoShape 3" o:spid="_x0000_s1026" alt="file:///%5C%5C172.16.32.4%5Cdata%5CZI%5Cu.pyka%5CPulpit%5CStopka%20RP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QV6+zJQIAABcEAAAOAAAAAAAAAAAAAAAAAC4CAABkcnMvZTJvRG9jLnhtbFBL&#10;AQItABQABgAIAAAAIQBMoOks2AAAAAMBAAAPAAAAAAAAAAAAAAAAAH8EAABkcnMvZG93bnJldi54&#10;bWxQSwUGAAAAAAQABADzAAAAhAUAAAAA&#10;" filled="f" stroked="f">
                <o:lock v:ext="edit" aspectratio="t"/>
                <w10:anchorlock/>
              </v:rect>
            </w:pict>
          </mc:Fallback>
        </mc:AlternateContent>
      </w:r>
      <w:r>
        <w:rPr>
          <w:noProof/>
          <w:sz w:val="24"/>
          <w:szCs w:val="24"/>
          <w:lang w:eastAsia="pl-PL"/>
        </w:rPr>
        <mc:AlternateContent>
          <mc:Choice Requires="wps">
            <w:drawing>
              <wp:inline distT="0" distB="0" distL="0" distR="0" wp14:anchorId="5FF497E9" wp14:editId="2E97D6F7">
                <wp:extent cx="304800" cy="304800"/>
                <wp:effectExtent l="0" t="3810" r="4445" b="0"/>
                <wp:docPr id="1" name="AutoShape 2" descr="file:///%5C%5C172.16.32.4%5Cdata%5CZI%5Cu.pyka%5CPulpit%5CStopka%20RP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FE335" id="AutoShape 2" o:spid="_x0000_s1026" alt="file:///%5C%5C172.16.32.4%5Cdata%5CZI%5Cu.pyka%5CPulpit%5CStopka%20RP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Jb6AjyMCAAAXBAAADgAAAAAAAAAAAAAAAAAuAgAAZHJzL2Uyb0RvYy54bWxQSwEC&#10;LQAUAAYACAAAACEATKDpLNgAAAADAQAADwAAAAAAAAAAAAAAAAB9BAAAZHJzL2Rvd25yZXYueG1s&#10;UEsFBgAAAAAEAAQA8wAAAIIFAAAAAA==&#10;" filled="f" stroked="f">
                <o:lock v:ext="edit" aspectratio="t"/>
                <w10:anchorlock/>
              </v:rect>
            </w:pict>
          </mc:Fallback>
        </mc:AlternateContent>
      </w:r>
    </w:p>
    <w:sectPr w:rsidR="00B57D22" w:rsidRPr="00B57D22" w:rsidSect="00133A73">
      <w:pgSz w:w="16838" w:h="11906" w:orient="landscape"/>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B15EE"/>
    <w:multiLevelType w:val="hybridMultilevel"/>
    <w:tmpl w:val="189C7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6C38EF"/>
    <w:multiLevelType w:val="hybridMultilevel"/>
    <w:tmpl w:val="C3F28F10"/>
    <w:lvl w:ilvl="0" w:tplc="0415000F">
      <w:start w:val="1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913584"/>
    <w:multiLevelType w:val="hybridMultilevel"/>
    <w:tmpl w:val="9A4A9ABE"/>
    <w:lvl w:ilvl="0" w:tplc="4BC08B76">
      <w:numFmt w:val="bullet"/>
      <w:lvlText w:val=""/>
      <w:lvlJc w:val="left"/>
      <w:pPr>
        <w:ind w:left="1665" w:hanging="360"/>
      </w:pPr>
      <w:rPr>
        <w:rFonts w:ascii="Calibri" w:eastAsia="Times New Roman" w:hAnsi="Calibri" w:cs="Times New Roman" w:hint="default"/>
        <w:color w:val="222222"/>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3" w15:restartNumberingAfterBreak="0">
    <w:nsid w:val="65541BEC"/>
    <w:multiLevelType w:val="hybridMultilevel"/>
    <w:tmpl w:val="BAC6BC3A"/>
    <w:lvl w:ilvl="0" w:tplc="7E8679E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5C2641"/>
    <w:multiLevelType w:val="hybridMultilevel"/>
    <w:tmpl w:val="857AFA0E"/>
    <w:lvl w:ilvl="0" w:tplc="04150001">
      <w:start w:val="1"/>
      <w:numFmt w:val="bullet"/>
      <w:lvlText w:val=""/>
      <w:lvlJc w:val="left"/>
      <w:pPr>
        <w:ind w:left="2025" w:hanging="360"/>
      </w:pPr>
      <w:rPr>
        <w:rFonts w:ascii="Symbol" w:hAnsi="Symbol"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15"/>
    <w:rsid w:val="0004357E"/>
    <w:rsid w:val="000538B6"/>
    <w:rsid w:val="000564F5"/>
    <w:rsid w:val="00060533"/>
    <w:rsid w:val="000735B4"/>
    <w:rsid w:val="000A15F6"/>
    <w:rsid w:val="00110929"/>
    <w:rsid w:val="00133A73"/>
    <w:rsid w:val="00143DE3"/>
    <w:rsid w:val="001B7AE0"/>
    <w:rsid w:val="001D0317"/>
    <w:rsid w:val="0022154D"/>
    <w:rsid w:val="00236A0E"/>
    <w:rsid w:val="00243224"/>
    <w:rsid w:val="002465A2"/>
    <w:rsid w:val="002668EA"/>
    <w:rsid w:val="002C3CE6"/>
    <w:rsid w:val="002E1B92"/>
    <w:rsid w:val="002E6715"/>
    <w:rsid w:val="003050C9"/>
    <w:rsid w:val="00306F08"/>
    <w:rsid w:val="003334EB"/>
    <w:rsid w:val="003455A9"/>
    <w:rsid w:val="00356021"/>
    <w:rsid w:val="00386D0E"/>
    <w:rsid w:val="003C29BD"/>
    <w:rsid w:val="003E13CB"/>
    <w:rsid w:val="00405D8D"/>
    <w:rsid w:val="00423500"/>
    <w:rsid w:val="004260F8"/>
    <w:rsid w:val="00451D8B"/>
    <w:rsid w:val="00453119"/>
    <w:rsid w:val="004615E8"/>
    <w:rsid w:val="0046765D"/>
    <w:rsid w:val="004A4431"/>
    <w:rsid w:val="004D04D7"/>
    <w:rsid w:val="004F71E0"/>
    <w:rsid w:val="00680963"/>
    <w:rsid w:val="006A567B"/>
    <w:rsid w:val="006C28C6"/>
    <w:rsid w:val="006E069A"/>
    <w:rsid w:val="006E0EF3"/>
    <w:rsid w:val="007935FB"/>
    <w:rsid w:val="007C0808"/>
    <w:rsid w:val="00812E71"/>
    <w:rsid w:val="008134CF"/>
    <w:rsid w:val="00816471"/>
    <w:rsid w:val="00824CB5"/>
    <w:rsid w:val="00863B0F"/>
    <w:rsid w:val="00895F82"/>
    <w:rsid w:val="008A65FE"/>
    <w:rsid w:val="008D3AC9"/>
    <w:rsid w:val="008E72D5"/>
    <w:rsid w:val="00901FCA"/>
    <w:rsid w:val="009254AC"/>
    <w:rsid w:val="009561DC"/>
    <w:rsid w:val="00964F31"/>
    <w:rsid w:val="0097019F"/>
    <w:rsid w:val="00992F7A"/>
    <w:rsid w:val="00993F90"/>
    <w:rsid w:val="00996F8B"/>
    <w:rsid w:val="00A009B9"/>
    <w:rsid w:val="00A573C6"/>
    <w:rsid w:val="00AB309F"/>
    <w:rsid w:val="00B124B7"/>
    <w:rsid w:val="00B30B85"/>
    <w:rsid w:val="00B47D0B"/>
    <w:rsid w:val="00B50BA9"/>
    <w:rsid w:val="00B57D22"/>
    <w:rsid w:val="00BA3566"/>
    <w:rsid w:val="00BB02C9"/>
    <w:rsid w:val="00BB2DF1"/>
    <w:rsid w:val="00BF277F"/>
    <w:rsid w:val="00C2634A"/>
    <w:rsid w:val="00C7437F"/>
    <w:rsid w:val="00CA71A8"/>
    <w:rsid w:val="00CB6928"/>
    <w:rsid w:val="00D05531"/>
    <w:rsid w:val="00D11044"/>
    <w:rsid w:val="00D201F6"/>
    <w:rsid w:val="00D336D1"/>
    <w:rsid w:val="00D546CB"/>
    <w:rsid w:val="00D8197C"/>
    <w:rsid w:val="00DC4682"/>
    <w:rsid w:val="00EB2A04"/>
    <w:rsid w:val="00EC3899"/>
    <w:rsid w:val="00ED15EC"/>
    <w:rsid w:val="00F418FF"/>
    <w:rsid w:val="00F722F8"/>
    <w:rsid w:val="00F8053A"/>
    <w:rsid w:val="00FA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CC79"/>
  <w15:docId w15:val="{503F24F7-5E6C-442E-A896-937AA9C1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4C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E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from">
    <w:name w:val="datefrom"/>
    <w:basedOn w:val="Domylnaczcionkaakapitu"/>
    <w:rsid w:val="00ED15EC"/>
  </w:style>
  <w:style w:type="character" w:customStyle="1" w:styleId="dateto">
    <w:name w:val="dateto"/>
    <w:basedOn w:val="Domylnaczcionkaakapitu"/>
    <w:rsid w:val="00ED15EC"/>
  </w:style>
  <w:style w:type="paragraph" w:styleId="Akapitzlist">
    <w:name w:val="List Paragraph"/>
    <w:basedOn w:val="Normalny"/>
    <w:uiPriority w:val="34"/>
    <w:qFormat/>
    <w:rsid w:val="00812E71"/>
    <w:pPr>
      <w:ind w:left="720"/>
      <w:contextualSpacing/>
    </w:pPr>
  </w:style>
  <w:style w:type="character" w:styleId="Hipercze">
    <w:name w:val="Hyperlink"/>
    <w:uiPriority w:val="99"/>
    <w:unhideWhenUsed/>
    <w:rsid w:val="00B57D22"/>
    <w:rPr>
      <w:color w:val="0563C1"/>
      <w:u w:val="single"/>
    </w:rPr>
  </w:style>
  <w:style w:type="paragraph" w:styleId="NormalnyWeb">
    <w:name w:val="Normal (Web)"/>
    <w:basedOn w:val="Normalny"/>
    <w:uiPriority w:val="99"/>
    <w:unhideWhenUsed/>
    <w:rsid w:val="00D546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722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22F8"/>
    <w:rPr>
      <w:rFonts w:ascii="Tahoma" w:hAnsi="Tahoma" w:cs="Tahoma"/>
      <w:sz w:val="16"/>
      <w:szCs w:val="16"/>
    </w:rPr>
  </w:style>
  <w:style w:type="character" w:styleId="Odwoaniedokomentarza">
    <w:name w:val="annotation reference"/>
    <w:basedOn w:val="Domylnaczcionkaakapitu"/>
    <w:uiPriority w:val="99"/>
    <w:semiHidden/>
    <w:unhideWhenUsed/>
    <w:rsid w:val="00F8053A"/>
    <w:rPr>
      <w:sz w:val="16"/>
      <w:szCs w:val="16"/>
    </w:rPr>
  </w:style>
  <w:style w:type="paragraph" w:styleId="Tekstkomentarza">
    <w:name w:val="annotation text"/>
    <w:basedOn w:val="Normalny"/>
    <w:link w:val="TekstkomentarzaZnak"/>
    <w:uiPriority w:val="99"/>
    <w:semiHidden/>
    <w:unhideWhenUsed/>
    <w:rsid w:val="00F805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053A"/>
    <w:rPr>
      <w:sz w:val="20"/>
      <w:szCs w:val="20"/>
    </w:rPr>
  </w:style>
  <w:style w:type="paragraph" w:styleId="Tematkomentarza">
    <w:name w:val="annotation subject"/>
    <w:basedOn w:val="Tekstkomentarza"/>
    <w:next w:val="Tekstkomentarza"/>
    <w:link w:val="TematkomentarzaZnak"/>
    <w:uiPriority w:val="99"/>
    <w:semiHidden/>
    <w:unhideWhenUsed/>
    <w:rsid w:val="00F8053A"/>
    <w:rPr>
      <w:b/>
      <w:bCs/>
    </w:rPr>
  </w:style>
  <w:style w:type="character" w:customStyle="1" w:styleId="TematkomentarzaZnak">
    <w:name w:val="Temat komentarza Znak"/>
    <w:basedOn w:val="TekstkomentarzaZnak"/>
    <w:link w:val="Tematkomentarza"/>
    <w:uiPriority w:val="99"/>
    <w:semiHidden/>
    <w:rsid w:val="00F8053A"/>
    <w:rPr>
      <w:b/>
      <w:bCs/>
      <w:sz w:val="20"/>
      <w:szCs w:val="20"/>
    </w:rPr>
  </w:style>
  <w:style w:type="character" w:styleId="Uwydatnienie">
    <w:name w:val="Emphasis"/>
    <w:basedOn w:val="Domylnaczcionkaakapitu"/>
    <w:uiPriority w:val="20"/>
    <w:qFormat/>
    <w:rsid w:val="000435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2242">
      <w:bodyDiv w:val="1"/>
      <w:marLeft w:val="0"/>
      <w:marRight w:val="0"/>
      <w:marTop w:val="0"/>
      <w:marBottom w:val="0"/>
      <w:divBdr>
        <w:top w:val="none" w:sz="0" w:space="0" w:color="auto"/>
        <w:left w:val="none" w:sz="0" w:space="0" w:color="auto"/>
        <w:bottom w:val="none" w:sz="0" w:space="0" w:color="auto"/>
        <w:right w:val="none" w:sz="0" w:space="0" w:color="auto"/>
      </w:divBdr>
      <w:divsChild>
        <w:div w:id="756243296">
          <w:marLeft w:val="0"/>
          <w:marRight w:val="0"/>
          <w:marTop w:val="0"/>
          <w:marBottom w:val="0"/>
          <w:divBdr>
            <w:top w:val="none" w:sz="0" w:space="0" w:color="auto"/>
            <w:left w:val="none" w:sz="0" w:space="0" w:color="auto"/>
            <w:bottom w:val="none" w:sz="0" w:space="0" w:color="auto"/>
            <w:right w:val="none" w:sz="0" w:space="0" w:color="auto"/>
          </w:divBdr>
        </w:div>
        <w:div w:id="376976299">
          <w:marLeft w:val="0"/>
          <w:marRight w:val="0"/>
          <w:marTop w:val="0"/>
          <w:marBottom w:val="0"/>
          <w:divBdr>
            <w:top w:val="none" w:sz="0" w:space="0" w:color="auto"/>
            <w:left w:val="none" w:sz="0" w:space="0" w:color="auto"/>
            <w:bottom w:val="none" w:sz="0" w:space="0" w:color="auto"/>
            <w:right w:val="none" w:sz="0" w:space="0" w:color="auto"/>
          </w:divBdr>
        </w:div>
        <w:div w:id="1261719347">
          <w:marLeft w:val="0"/>
          <w:marRight w:val="0"/>
          <w:marTop w:val="0"/>
          <w:marBottom w:val="0"/>
          <w:divBdr>
            <w:top w:val="none" w:sz="0" w:space="0" w:color="auto"/>
            <w:left w:val="none" w:sz="0" w:space="0" w:color="auto"/>
            <w:bottom w:val="none" w:sz="0" w:space="0" w:color="auto"/>
            <w:right w:val="none" w:sz="0" w:space="0" w:color="auto"/>
          </w:divBdr>
        </w:div>
      </w:divsChild>
    </w:div>
    <w:div w:id="252595345">
      <w:bodyDiv w:val="1"/>
      <w:marLeft w:val="0"/>
      <w:marRight w:val="0"/>
      <w:marTop w:val="0"/>
      <w:marBottom w:val="0"/>
      <w:divBdr>
        <w:top w:val="none" w:sz="0" w:space="0" w:color="auto"/>
        <w:left w:val="none" w:sz="0" w:space="0" w:color="auto"/>
        <w:bottom w:val="none" w:sz="0" w:space="0" w:color="auto"/>
        <w:right w:val="none" w:sz="0" w:space="0" w:color="auto"/>
      </w:divBdr>
      <w:divsChild>
        <w:div w:id="2025597211">
          <w:marLeft w:val="0"/>
          <w:marRight w:val="0"/>
          <w:marTop w:val="0"/>
          <w:marBottom w:val="0"/>
          <w:divBdr>
            <w:top w:val="none" w:sz="0" w:space="0" w:color="auto"/>
            <w:left w:val="none" w:sz="0" w:space="0" w:color="auto"/>
            <w:bottom w:val="none" w:sz="0" w:space="0" w:color="auto"/>
            <w:right w:val="none" w:sz="0" w:space="0" w:color="auto"/>
          </w:divBdr>
          <w:divsChild>
            <w:div w:id="1919288725">
              <w:marLeft w:val="0"/>
              <w:marRight w:val="0"/>
              <w:marTop w:val="0"/>
              <w:marBottom w:val="0"/>
              <w:divBdr>
                <w:top w:val="none" w:sz="0" w:space="0" w:color="auto"/>
                <w:left w:val="none" w:sz="0" w:space="0" w:color="auto"/>
                <w:bottom w:val="none" w:sz="0" w:space="0" w:color="auto"/>
                <w:right w:val="none" w:sz="0" w:space="0" w:color="auto"/>
              </w:divBdr>
            </w:div>
            <w:div w:id="859590460">
              <w:marLeft w:val="0"/>
              <w:marRight w:val="0"/>
              <w:marTop w:val="0"/>
              <w:marBottom w:val="0"/>
              <w:divBdr>
                <w:top w:val="none" w:sz="0" w:space="0" w:color="auto"/>
                <w:left w:val="none" w:sz="0" w:space="0" w:color="auto"/>
                <w:bottom w:val="none" w:sz="0" w:space="0" w:color="auto"/>
                <w:right w:val="none" w:sz="0" w:space="0" w:color="auto"/>
              </w:divBdr>
            </w:div>
            <w:div w:id="1227062748">
              <w:marLeft w:val="0"/>
              <w:marRight w:val="0"/>
              <w:marTop w:val="0"/>
              <w:marBottom w:val="0"/>
              <w:divBdr>
                <w:top w:val="none" w:sz="0" w:space="0" w:color="auto"/>
                <w:left w:val="none" w:sz="0" w:space="0" w:color="auto"/>
                <w:bottom w:val="none" w:sz="0" w:space="0" w:color="auto"/>
                <w:right w:val="none" w:sz="0" w:space="0" w:color="auto"/>
              </w:divBdr>
            </w:div>
            <w:div w:id="128482036">
              <w:marLeft w:val="0"/>
              <w:marRight w:val="0"/>
              <w:marTop w:val="0"/>
              <w:marBottom w:val="0"/>
              <w:divBdr>
                <w:top w:val="none" w:sz="0" w:space="0" w:color="auto"/>
                <w:left w:val="none" w:sz="0" w:space="0" w:color="auto"/>
                <w:bottom w:val="none" w:sz="0" w:space="0" w:color="auto"/>
                <w:right w:val="none" w:sz="0" w:space="0" w:color="auto"/>
              </w:divBdr>
            </w:div>
            <w:div w:id="1976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0304">
      <w:bodyDiv w:val="1"/>
      <w:marLeft w:val="0"/>
      <w:marRight w:val="0"/>
      <w:marTop w:val="0"/>
      <w:marBottom w:val="0"/>
      <w:divBdr>
        <w:top w:val="none" w:sz="0" w:space="0" w:color="auto"/>
        <w:left w:val="none" w:sz="0" w:space="0" w:color="auto"/>
        <w:bottom w:val="none" w:sz="0" w:space="0" w:color="auto"/>
        <w:right w:val="none" w:sz="0" w:space="0" w:color="auto"/>
      </w:divBdr>
    </w:div>
    <w:div w:id="1004287394">
      <w:bodyDiv w:val="1"/>
      <w:marLeft w:val="0"/>
      <w:marRight w:val="0"/>
      <w:marTop w:val="0"/>
      <w:marBottom w:val="0"/>
      <w:divBdr>
        <w:top w:val="none" w:sz="0" w:space="0" w:color="auto"/>
        <w:left w:val="none" w:sz="0" w:space="0" w:color="auto"/>
        <w:bottom w:val="none" w:sz="0" w:space="0" w:color="auto"/>
        <w:right w:val="none" w:sz="0" w:space="0" w:color="auto"/>
      </w:divBdr>
    </w:div>
    <w:div w:id="1036321155">
      <w:bodyDiv w:val="1"/>
      <w:marLeft w:val="0"/>
      <w:marRight w:val="0"/>
      <w:marTop w:val="0"/>
      <w:marBottom w:val="0"/>
      <w:divBdr>
        <w:top w:val="none" w:sz="0" w:space="0" w:color="auto"/>
        <w:left w:val="none" w:sz="0" w:space="0" w:color="auto"/>
        <w:bottom w:val="none" w:sz="0" w:space="0" w:color="auto"/>
        <w:right w:val="none" w:sz="0" w:space="0" w:color="auto"/>
      </w:divBdr>
    </w:div>
    <w:div w:id="1075468607">
      <w:bodyDiv w:val="1"/>
      <w:marLeft w:val="0"/>
      <w:marRight w:val="0"/>
      <w:marTop w:val="0"/>
      <w:marBottom w:val="0"/>
      <w:divBdr>
        <w:top w:val="none" w:sz="0" w:space="0" w:color="auto"/>
        <w:left w:val="none" w:sz="0" w:space="0" w:color="auto"/>
        <w:bottom w:val="none" w:sz="0" w:space="0" w:color="auto"/>
        <w:right w:val="none" w:sz="0" w:space="0" w:color="auto"/>
      </w:divBdr>
    </w:div>
    <w:div w:id="1125585478">
      <w:bodyDiv w:val="1"/>
      <w:marLeft w:val="0"/>
      <w:marRight w:val="0"/>
      <w:marTop w:val="0"/>
      <w:marBottom w:val="0"/>
      <w:divBdr>
        <w:top w:val="none" w:sz="0" w:space="0" w:color="auto"/>
        <w:left w:val="none" w:sz="0" w:space="0" w:color="auto"/>
        <w:bottom w:val="none" w:sz="0" w:space="0" w:color="auto"/>
        <w:right w:val="none" w:sz="0" w:space="0" w:color="auto"/>
      </w:divBdr>
    </w:div>
    <w:div w:id="1213616492">
      <w:bodyDiv w:val="1"/>
      <w:marLeft w:val="0"/>
      <w:marRight w:val="0"/>
      <w:marTop w:val="0"/>
      <w:marBottom w:val="0"/>
      <w:divBdr>
        <w:top w:val="none" w:sz="0" w:space="0" w:color="auto"/>
        <w:left w:val="none" w:sz="0" w:space="0" w:color="auto"/>
        <w:bottom w:val="none" w:sz="0" w:space="0" w:color="auto"/>
        <w:right w:val="none" w:sz="0" w:space="0" w:color="auto"/>
      </w:divBdr>
    </w:div>
    <w:div w:id="1298876248">
      <w:bodyDiv w:val="1"/>
      <w:marLeft w:val="0"/>
      <w:marRight w:val="0"/>
      <w:marTop w:val="0"/>
      <w:marBottom w:val="0"/>
      <w:divBdr>
        <w:top w:val="none" w:sz="0" w:space="0" w:color="auto"/>
        <w:left w:val="none" w:sz="0" w:space="0" w:color="auto"/>
        <w:bottom w:val="none" w:sz="0" w:space="0" w:color="auto"/>
        <w:right w:val="none" w:sz="0" w:space="0" w:color="auto"/>
      </w:divBdr>
    </w:div>
    <w:div w:id="1400208609">
      <w:bodyDiv w:val="1"/>
      <w:marLeft w:val="0"/>
      <w:marRight w:val="0"/>
      <w:marTop w:val="0"/>
      <w:marBottom w:val="0"/>
      <w:divBdr>
        <w:top w:val="none" w:sz="0" w:space="0" w:color="auto"/>
        <w:left w:val="none" w:sz="0" w:space="0" w:color="auto"/>
        <w:bottom w:val="none" w:sz="0" w:space="0" w:color="auto"/>
        <w:right w:val="none" w:sz="0" w:space="0" w:color="auto"/>
      </w:divBdr>
    </w:div>
    <w:div w:id="1513256570">
      <w:bodyDiv w:val="1"/>
      <w:marLeft w:val="0"/>
      <w:marRight w:val="0"/>
      <w:marTop w:val="0"/>
      <w:marBottom w:val="0"/>
      <w:divBdr>
        <w:top w:val="none" w:sz="0" w:space="0" w:color="auto"/>
        <w:left w:val="none" w:sz="0" w:space="0" w:color="auto"/>
        <w:bottom w:val="none" w:sz="0" w:space="0" w:color="auto"/>
        <w:right w:val="none" w:sz="0" w:space="0" w:color="auto"/>
      </w:divBdr>
    </w:div>
    <w:div w:id="1542204273">
      <w:bodyDiv w:val="1"/>
      <w:marLeft w:val="0"/>
      <w:marRight w:val="0"/>
      <w:marTop w:val="0"/>
      <w:marBottom w:val="0"/>
      <w:divBdr>
        <w:top w:val="none" w:sz="0" w:space="0" w:color="auto"/>
        <w:left w:val="none" w:sz="0" w:space="0" w:color="auto"/>
        <w:bottom w:val="none" w:sz="0" w:space="0" w:color="auto"/>
        <w:right w:val="none" w:sz="0" w:space="0" w:color="auto"/>
      </w:divBdr>
      <w:divsChild>
        <w:div w:id="1914730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30908">
      <w:bodyDiv w:val="1"/>
      <w:marLeft w:val="0"/>
      <w:marRight w:val="0"/>
      <w:marTop w:val="0"/>
      <w:marBottom w:val="0"/>
      <w:divBdr>
        <w:top w:val="none" w:sz="0" w:space="0" w:color="auto"/>
        <w:left w:val="none" w:sz="0" w:space="0" w:color="auto"/>
        <w:bottom w:val="none" w:sz="0" w:space="0" w:color="auto"/>
        <w:right w:val="none" w:sz="0" w:space="0" w:color="auto"/>
      </w:divBdr>
    </w:div>
    <w:div w:id="20904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ziennikustaw.gov.pl/DU/2015/13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ziennikustaw.gov.pl/DU/2015/13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AC29-53AA-4DBB-B90D-42C1568E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2474</Words>
  <Characters>14848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U.Pyka</dc:creator>
  <cp:lastModifiedBy>Jadwiga FK</cp:lastModifiedBy>
  <cp:revision>2</cp:revision>
  <dcterms:created xsi:type="dcterms:W3CDTF">2020-12-04T07:26:00Z</dcterms:created>
  <dcterms:modified xsi:type="dcterms:W3CDTF">2020-12-04T07:26:00Z</dcterms:modified>
</cp:coreProperties>
</file>