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CB34F" w14:textId="33E422C1" w:rsidR="00136D60" w:rsidRDefault="001C04EB" w:rsidP="00136D60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bookmarkStart w:id="0" w:name="_GoBack"/>
      <w:bookmarkEnd w:id="0"/>
      <w:r w:rsidRPr="001C04EB">
        <w:rPr>
          <w:rFonts w:eastAsiaTheme="minorEastAsia"/>
          <w:b/>
          <w:i/>
          <w:noProof/>
          <w:color w:val="000099"/>
          <w:sz w:val="44"/>
          <w:szCs w:val="28"/>
          <w:lang w:eastAsia="pl-PL"/>
        </w:rPr>
        <w:drawing>
          <wp:inline distT="0" distB="0" distL="0" distR="0" wp14:anchorId="5B1A7733" wp14:editId="706057A3">
            <wp:extent cx="8891270" cy="1154881"/>
            <wp:effectExtent l="0" t="0" r="508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1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BFA1" w14:textId="77777777" w:rsidR="00136D60" w:rsidRDefault="00136D60" w:rsidP="00136D60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11BF6CEA" w14:textId="77777777" w:rsidR="00136D60" w:rsidRDefault="00136D60" w:rsidP="00136D60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0C9F0295" w14:textId="77777777" w:rsidR="00FD69C6" w:rsidRDefault="00FD69C6" w:rsidP="00FD69C6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 w:rsidRPr="00FD69C6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Lista wskaźników na poziomie projektu </w:t>
      </w:r>
    </w:p>
    <w:p w14:paraId="0C60E01F" w14:textId="56F51818" w:rsidR="00FD69C6" w:rsidRPr="00FD69C6" w:rsidRDefault="00FD69C6" w:rsidP="00FD69C6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 w:rsidRPr="00FD69C6">
        <w:rPr>
          <w:rFonts w:eastAsiaTheme="minorEastAsia"/>
          <w:b/>
          <w:i/>
          <w:color w:val="000099"/>
          <w:sz w:val="44"/>
          <w:szCs w:val="28"/>
          <w:lang w:eastAsia="pl-PL"/>
        </w:rPr>
        <w:t>dla Poddziałania 9.1.</w:t>
      </w:r>
      <w:r w:rsidR="00AB176A">
        <w:rPr>
          <w:rFonts w:eastAsiaTheme="minorEastAsia"/>
          <w:b/>
          <w:i/>
          <w:color w:val="000099"/>
          <w:sz w:val="44"/>
          <w:szCs w:val="28"/>
          <w:lang w:eastAsia="pl-PL"/>
        </w:rPr>
        <w:t>3</w:t>
      </w:r>
      <w:r w:rsidRPr="00FD69C6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 </w:t>
      </w:r>
      <w:r w:rsidR="00AB176A" w:rsidRPr="00AB176A">
        <w:rPr>
          <w:rFonts w:eastAsiaTheme="minorEastAsia"/>
          <w:b/>
          <w:i/>
          <w:color w:val="000099"/>
          <w:sz w:val="44"/>
          <w:szCs w:val="28"/>
          <w:lang w:eastAsia="pl-PL"/>
        </w:rPr>
        <w:t>Wsparcie edukacji przedszkolnej</w:t>
      </w:r>
      <w:r w:rsidRPr="00FD69C6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 </w:t>
      </w:r>
    </w:p>
    <w:p w14:paraId="63E8E391" w14:textId="7B82BF8E" w:rsidR="008E7FF7" w:rsidRPr="00136D60" w:rsidRDefault="00FD69C6" w:rsidP="00FD69C6">
      <w:pPr>
        <w:jc w:val="center"/>
        <w:rPr>
          <w:rFonts w:eastAsiaTheme="minorEastAsia"/>
          <w:b/>
          <w:lang w:eastAsia="pl-PL"/>
        </w:rPr>
      </w:pPr>
      <w:r w:rsidRPr="00FD69C6">
        <w:rPr>
          <w:rFonts w:eastAsiaTheme="minorEastAsia"/>
          <w:b/>
          <w:i/>
          <w:color w:val="000099"/>
          <w:sz w:val="44"/>
          <w:szCs w:val="28"/>
          <w:lang w:eastAsia="pl-PL"/>
        </w:rPr>
        <w:t>w ramach RPO WO 2014-2020</w:t>
      </w:r>
    </w:p>
    <w:p w14:paraId="334E28F9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886B212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  <w:r w:rsidRPr="00136D60">
        <w:rPr>
          <w:rFonts w:eastAsiaTheme="minorEastAsia"/>
          <w:b/>
          <w:lang w:eastAsia="pl-PL"/>
        </w:rPr>
        <w:br w:type="page"/>
      </w:r>
    </w:p>
    <w:p w14:paraId="426A3FA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11968E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6D9267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3A5ECA4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F7418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3CDBD6C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6E8842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12243D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3A91D5D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7C481AE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8AFA00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49A8EF3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86ABD6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1F194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7BCB884D" w14:textId="77777777" w:rsidR="00136D60" w:rsidRPr="00136D60" w:rsidRDefault="00136D60" w:rsidP="00136D60">
      <w:pPr>
        <w:spacing w:after="0"/>
        <w:rPr>
          <w:rFonts w:eastAsiaTheme="minorEastAsia"/>
          <w:b/>
          <w:color w:val="000099"/>
          <w:sz w:val="18"/>
          <w:u w:val="single"/>
          <w:lang w:eastAsia="pl-PL"/>
        </w:rPr>
      </w:pPr>
      <w:r w:rsidRPr="00136D60">
        <w:rPr>
          <w:rFonts w:eastAsiaTheme="minorEastAsia"/>
          <w:b/>
          <w:color w:val="000099"/>
          <w:sz w:val="18"/>
          <w:u w:val="single"/>
          <w:lang w:eastAsia="pl-PL"/>
        </w:rPr>
        <w:t>Opracowanie:</w:t>
      </w:r>
    </w:p>
    <w:p w14:paraId="4A38F087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Departament Koordynacji Programów Operacyjnych</w:t>
      </w:r>
    </w:p>
    <w:p w14:paraId="05703CF2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Urząd Marszałkowski Województwa Opolskiego</w:t>
      </w:r>
    </w:p>
    <w:p w14:paraId="3DDEB17B" w14:textId="660D2890" w:rsidR="00136D60" w:rsidRDefault="00CF0720" w:rsidP="00E01179">
      <w:pPr>
        <w:spacing w:after="0"/>
        <w:rPr>
          <w:rFonts w:eastAsiaTheme="minorEastAsia"/>
          <w:b/>
          <w:lang w:eastAsia="pl-PL"/>
        </w:rPr>
      </w:pPr>
      <w:r>
        <w:rPr>
          <w:rFonts w:eastAsiaTheme="minorEastAsia"/>
          <w:color w:val="000099"/>
          <w:sz w:val="18"/>
          <w:lang w:eastAsia="pl-PL"/>
        </w:rPr>
        <w:t xml:space="preserve">Opole, </w:t>
      </w:r>
      <w:r w:rsidR="00AB176A">
        <w:rPr>
          <w:rFonts w:eastAsiaTheme="minorEastAsia"/>
          <w:color w:val="000099"/>
          <w:sz w:val="18"/>
          <w:lang w:eastAsia="pl-PL"/>
        </w:rPr>
        <w:t>luty 2016</w:t>
      </w:r>
      <w:r w:rsidR="00136D60" w:rsidRPr="00136D60">
        <w:rPr>
          <w:rFonts w:eastAsiaTheme="minorEastAsia"/>
          <w:color w:val="000099"/>
          <w:sz w:val="18"/>
          <w:lang w:eastAsia="pl-PL"/>
        </w:rPr>
        <w:t xml:space="preserve"> r.</w:t>
      </w:r>
    </w:p>
    <w:p w14:paraId="234BA3E9" w14:textId="77777777" w:rsidR="00E01179" w:rsidRDefault="00E01179" w:rsidP="00E01179">
      <w:pPr>
        <w:spacing w:after="0"/>
        <w:rPr>
          <w:rFonts w:eastAsiaTheme="minorEastAsia"/>
          <w:b/>
          <w:lang w:eastAsia="pl-PL"/>
        </w:rPr>
      </w:pPr>
    </w:p>
    <w:p w14:paraId="31E4A7F6" w14:textId="77777777" w:rsidR="008E7FF7" w:rsidRDefault="008E7FF7" w:rsidP="00E01179">
      <w:pPr>
        <w:spacing w:after="0"/>
        <w:rPr>
          <w:rFonts w:eastAsiaTheme="minorEastAsia"/>
          <w:b/>
          <w:lang w:eastAsia="pl-PL"/>
        </w:rPr>
      </w:pPr>
    </w:p>
    <w:p w14:paraId="2C0C5E16" w14:textId="77777777" w:rsidR="008E7FF7" w:rsidRPr="00E01179" w:rsidRDefault="008E7FF7" w:rsidP="00E01179">
      <w:pPr>
        <w:spacing w:after="0"/>
        <w:rPr>
          <w:rFonts w:eastAsiaTheme="minorEastAsia"/>
          <w:b/>
          <w:lang w:eastAsia="pl-PL"/>
        </w:rPr>
      </w:pPr>
    </w:p>
    <w:p w14:paraId="27DBEE86" w14:textId="77777777" w:rsidR="00BE377C" w:rsidRPr="007832FF" w:rsidRDefault="00C374C2" w:rsidP="00610768">
      <w:pPr>
        <w:spacing w:after="0"/>
        <w:ind w:left="-709"/>
        <w:rPr>
          <w:b/>
          <w:i/>
        </w:rPr>
      </w:pPr>
      <w:r w:rsidRPr="000C3414">
        <w:rPr>
          <w:b/>
        </w:rPr>
        <w:lastRenderedPageBreak/>
        <w:t xml:space="preserve">Tabela </w:t>
      </w:r>
      <w:r w:rsidR="00FC4C51" w:rsidRPr="000C3414">
        <w:rPr>
          <w:b/>
        </w:rPr>
        <w:t xml:space="preserve">1 </w:t>
      </w:r>
      <w:r w:rsidR="00FC4C51" w:rsidRPr="007832FF">
        <w:rPr>
          <w:i/>
        </w:rPr>
        <w:t>Zestawienie wskaźników EFS na poziomie projektu RPO WO 2014-2020</w:t>
      </w:r>
    </w:p>
    <w:tbl>
      <w:tblPr>
        <w:tblStyle w:val="Tabela-Siatka"/>
        <w:tblW w:w="1544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9"/>
        <w:gridCol w:w="2380"/>
        <w:gridCol w:w="1139"/>
        <w:gridCol w:w="1221"/>
        <w:gridCol w:w="27"/>
        <w:gridCol w:w="28"/>
        <w:gridCol w:w="1221"/>
        <w:gridCol w:w="21"/>
        <w:gridCol w:w="28"/>
        <w:gridCol w:w="1366"/>
        <w:gridCol w:w="49"/>
        <w:gridCol w:w="1820"/>
        <w:gridCol w:w="21"/>
        <w:gridCol w:w="9"/>
        <w:gridCol w:w="5494"/>
        <w:gridCol w:w="21"/>
        <w:gridCol w:w="9"/>
      </w:tblGrid>
      <w:tr w:rsidR="00C37A8F" w:rsidRPr="00BE71DE" w14:paraId="10F0E22F" w14:textId="77777777" w:rsidTr="00F6220B">
        <w:trPr>
          <w:gridAfter w:val="1"/>
          <w:wAfter w:w="9" w:type="dxa"/>
          <w:trHeight w:val="829"/>
          <w:tblHeader/>
          <w:jc w:val="center"/>
        </w:trPr>
        <w:tc>
          <w:tcPr>
            <w:tcW w:w="565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3B5A4C18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L.p.</w:t>
            </w:r>
          </w:p>
        </w:tc>
        <w:tc>
          <w:tcPr>
            <w:tcW w:w="2409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225FE27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Nazwa wskaźnika</w:t>
            </w:r>
          </w:p>
        </w:tc>
        <w:tc>
          <w:tcPr>
            <w:tcW w:w="1139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5693D1F1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Jednostka miary</w:t>
            </w:r>
          </w:p>
        </w:tc>
        <w:tc>
          <w:tcPr>
            <w:tcW w:w="1276" w:type="dxa"/>
            <w:gridSpan w:val="3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7FE9F818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Rodzaj wskaźnika</w:t>
            </w:r>
          </w:p>
        </w:tc>
        <w:tc>
          <w:tcPr>
            <w:tcW w:w="1270" w:type="dxa"/>
            <w:gridSpan w:val="3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4DDF9FFD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Charakter wskaźnika</w:t>
            </w:r>
          </w:p>
        </w:tc>
        <w:tc>
          <w:tcPr>
            <w:tcW w:w="1415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7097CB6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Typ wskaźnika</w:t>
            </w:r>
          </w:p>
        </w:tc>
        <w:tc>
          <w:tcPr>
            <w:tcW w:w="1841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620216C0" w14:textId="77777777" w:rsidR="008974BB" w:rsidRPr="00136D60" w:rsidRDefault="008974BB" w:rsidP="0083699C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Inne uwagi</w:t>
            </w:r>
          </w:p>
        </w:tc>
        <w:tc>
          <w:tcPr>
            <w:tcW w:w="5524" w:type="dxa"/>
            <w:gridSpan w:val="3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052FAC47" w14:textId="77777777" w:rsidR="008974BB" w:rsidRPr="00136D60" w:rsidRDefault="008974BB" w:rsidP="00136D60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Definicja</w:t>
            </w:r>
          </w:p>
        </w:tc>
      </w:tr>
      <w:tr w:rsidR="00997070" w:rsidRPr="00C93A1D" w14:paraId="211BAF4B" w14:textId="77777777" w:rsidTr="00F6220B">
        <w:trPr>
          <w:gridAfter w:val="1"/>
          <w:wAfter w:w="9" w:type="dxa"/>
          <w:trHeight w:val="521"/>
          <w:jc w:val="center"/>
        </w:trPr>
        <w:tc>
          <w:tcPr>
            <w:tcW w:w="15439" w:type="dxa"/>
            <w:gridSpan w:val="17"/>
            <w:tcBorders>
              <w:top w:val="single" w:sz="12" w:space="0" w:color="92D050"/>
            </w:tcBorders>
            <w:vAlign w:val="center"/>
          </w:tcPr>
          <w:p w14:paraId="0421D602" w14:textId="77777777" w:rsidR="00997070" w:rsidRPr="00997070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0"/>
              <w:jc w:val="center"/>
              <w:rPr>
                <w:rFonts w:asciiTheme="minorHAnsi" w:hAnsiTheme="minorHAnsi" w:cs="Calibri"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997070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Wskaźniki horyzontalne</w:t>
            </w:r>
          </w:p>
        </w:tc>
      </w:tr>
      <w:tr w:rsidR="00FD69C6" w:rsidRPr="00C93A1D" w14:paraId="1B87EF1E" w14:textId="77777777" w:rsidTr="00F6220B">
        <w:trPr>
          <w:gridAfter w:val="2"/>
          <w:wAfter w:w="30" w:type="dxa"/>
          <w:jc w:val="center"/>
        </w:trPr>
        <w:tc>
          <w:tcPr>
            <w:tcW w:w="594" w:type="dxa"/>
            <w:gridSpan w:val="2"/>
            <w:tcBorders>
              <w:top w:val="single" w:sz="12" w:space="0" w:color="92D050"/>
            </w:tcBorders>
            <w:vAlign w:val="center"/>
          </w:tcPr>
          <w:p w14:paraId="3E209C4C" w14:textId="23088E72" w:rsidR="00FD69C6" w:rsidRPr="00D02C9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  <w:color w:val="17365D" w:themeColor="text2" w:themeShade="BF"/>
              </w:rPr>
            </w:pPr>
            <w:r w:rsidRPr="00D02C92">
              <w:rPr>
                <w:b/>
              </w:rPr>
              <w:t>1.</w:t>
            </w:r>
          </w:p>
        </w:tc>
        <w:tc>
          <w:tcPr>
            <w:tcW w:w="2380" w:type="dxa"/>
            <w:tcBorders>
              <w:top w:val="single" w:sz="12" w:space="0" w:color="92D050"/>
            </w:tcBorders>
            <w:vAlign w:val="center"/>
          </w:tcPr>
          <w:p w14:paraId="0418F777" w14:textId="27210CC6" w:rsidR="00FD69C6" w:rsidRPr="00F3485A" w:rsidRDefault="00FD69C6" w:rsidP="00FD69C6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obiektów dostosowanych do potrzeb osób </w:t>
            </w:r>
            <w:r>
              <w:rPr>
                <w:i/>
                <w:sz w:val="20"/>
                <w:szCs w:val="20"/>
              </w:rPr>
              <w:br/>
              <w:t>z n</w:t>
            </w:r>
            <w:r w:rsidRPr="0040005D">
              <w:rPr>
                <w:i/>
                <w:sz w:val="20"/>
                <w:szCs w:val="20"/>
              </w:rPr>
              <w:t>iepełnosprawnościami</w:t>
            </w:r>
          </w:p>
        </w:tc>
        <w:tc>
          <w:tcPr>
            <w:tcW w:w="1139" w:type="dxa"/>
            <w:tcBorders>
              <w:top w:val="single" w:sz="12" w:space="0" w:color="92D050"/>
            </w:tcBorders>
            <w:vAlign w:val="center"/>
          </w:tcPr>
          <w:p w14:paraId="4CDA3A44" w14:textId="5BD2D81E" w:rsidR="00FD69C6" w:rsidRPr="00F3485A" w:rsidRDefault="00FD69C6" w:rsidP="00FD69C6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gridSpan w:val="2"/>
            <w:tcBorders>
              <w:top w:val="single" w:sz="12" w:space="0" w:color="92D050"/>
            </w:tcBorders>
            <w:vAlign w:val="center"/>
          </w:tcPr>
          <w:p w14:paraId="6AFA18B8" w14:textId="6EC0265D" w:rsidR="00FD69C6" w:rsidRPr="00FC63DC" w:rsidRDefault="00FD69C6" w:rsidP="00FD69C6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tcBorders>
              <w:top w:val="single" w:sz="12" w:space="0" w:color="92D050"/>
            </w:tcBorders>
            <w:vAlign w:val="center"/>
          </w:tcPr>
          <w:p w14:paraId="179338C4" w14:textId="1ADACD45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394" w:type="dxa"/>
            <w:gridSpan w:val="2"/>
            <w:tcBorders>
              <w:top w:val="single" w:sz="12" w:space="0" w:color="92D050"/>
            </w:tcBorders>
            <w:vAlign w:val="center"/>
          </w:tcPr>
          <w:p w14:paraId="05F57CAA" w14:textId="6F8DA3C3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69" w:type="dxa"/>
            <w:gridSpan w:val="2"/>
            <w:tcBorders>
              <w:top w:val="single" w:sz="12" w:space="0" w:color="92D050"/>
            </w:tcBorders>
            <w:vAlign w:val="center"/>
          </w:tcPr>
          <w:p w14:paraId="35BC47D8" w14:textId="7F566B1F" w:rsidR="00FD69C6" w:rsidRPr="00F3485A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524" w:type="dxa"/>
            <w:gridSpan w:val="3"/>
            <w:tcBorders>
              <w:top w:val="single" w:sz="12" w:space="0" w:color="92D050"/>
            </w:tcBorders>
            <w:vAlign w:val="center"/>
          </w:tcPr>
          <w:p w14:paraId="3158781A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odnosi się do liczby obiektów, które zaopatrzono </w:t>
            </w:r>
            <w:r w:rsidRPr="00136D60">
              <w:br/>
              <w:t>w specjalne podjazdy, windy, urządzenia głośnomówiące,</w:t>
            </w:r>
            <w:r>
              <w:t xml:space="preserve"> </w:t>
            </w:r>
            <w:r w:rsidRPr="00136D60">
              <w:t>bądź inne udogodnienia (tj. usunięcie barier w dostępie, w szczególności barier architektonicznych) ułatwiające</w:t>
            </w:r>
            <w:r>
              <w:t xml:space="preserve"> </w:t>
            </w:r>
            <w:r w:rsidRPr="00136D60">
              <w:t>dostęp do tych obiektów i poruszanie się po nich osobom niepełnosprawnym ruchowo czy sensorycznie.</w:t>
            </w:r>
          </w:p>
          <w:p w14:paraId="2A045065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Jako obiekty budowlane należy rozumieć konstrukcje połączone </w:t>
            </w:r>
            <w:r>
              <w:br/>
            </w:r>
            <w:r w:rsidRPr="00136D60">
              <w:t xml:space="preserve">z gruntem w sposób </w:t>
            </w:r>
            <w:r w:rsidRPr="00036830">
              <w:t>trwały, wykonane z materiałów budowlanych i elementów składowych, będące</w:t>
            </w:r>
            <w:r>
              <w:t xml:space="preserve"> </w:t>
            </w:r>
            <w:r w:rsidRPr="00136D60">
              <w:t>wynikiem prac budowlanych (wg. def. PKOB).</w:t>
            </w:r>
          </w:p>
          <w:p w14:paraId="028CE918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Należy podać liczbę obiektów, a nie sprzętów, urządzeń itp., </w:t>
            </w:r>
            <w:r w:rsidRPr="00136D60">
              <w:br/>
              <w:t>w które obiekty zaopatrzono.</w:t>
            </w:r>
          </w:p>
          <w:p w14:paraId="72D6EC3F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Jeśli instytucja, zakład itp. składa się z kilku obiektów, należy zliczyć wszystkie, które dostosowano do potrzeb osób</w:t>
            </w:r>
          </w:p>
          <w:p w14:paraId="26B57CF8" w14:textId="6697B6F5" w:rsidR="00FD69C6" w:rsidRPr="00B12AE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0"/>
              <w:jc w:val="both"/>
            </w:pPr>
            <w:r w:rsidRPr="00136D60">
              <w:t>niepełnosprawnych.</w:t>
            </w:r>
            <w:r w:rsidRPr="00136D60" w:rsidDel="00997070">
              <w:t xml:space="preserve"> </w:t>
            </w:r>
          </w:p>
        </w:tc>
      </w:tr>
      <w:tr w:rsidR="00FD69C6" w:rsidRPr="00C93A1D" w14:paraId="2C66F84D" w14:textId="77777777" w:rsidTr="00F6220B">
        <w:trPr>
          <w:gridAfter w:val="2"/>
          <w:wAfter w:w="30" w:type="dxa"/>
          <w:jc w:val="center"/>
        </w:trPr>
        <w:tc>
          <w:tcPr>
            <w:tcW w:w="594" w:type="dxa"/>
            <w:gridSpan w:val="2"/>
            <w:tcBorders>
              <w:top w:val="single" w:sz="12" w:space="0" w:color="92D050"/>
            </w:tcBorders>
            <w:vAlign w:val="center"/>
          </w:tcPr>
          <w:p w14:paraId="48ED0E24" w14:textId="4ECDAC5C" w:rsidR="00FD69C6" w:rsidRPr="00D02C9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  <w:color w:val="17365D" w:themeColor="text2" w:themeShade="BF"/>
              </w:rPr>
            </w:pPr>
            <w:r w:rsidRPr="00D02C92">
              <w:rPr>
                <w:b/>
              </w:rPr>
              <w:t>2.</w:t>
            </w:r>
          </w:p>
        </w:tc>
        <w:tc>
          <w:tcPr>
            <w:tcW w:w="2380" w:type="dxa"/>
            <w:tcBorders>
              <w:top w:val="single" w:sz="12" w:space="0" w:color="92D050"/>
            </w:tcBorders>
            <w:vAlign w:val="center"/>
          </w:tcPr>
          <w:p w14:paraId="4944566A" w14:textId="76E936EB" w:rsidR="00FD69C6" w:rsidRPr="00F3485A" w:rsidRDefault="00FD69C6" w:rsidP="00FD69C6">
            <w:pPr>
              <w:tabs>
                <w:tab w:val="left" w:pos="3402"/>
                <w:tab w:val="left" w:pos="5103"/>
              </w:tabs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>Liczba osób objętych szkoleniami / doradztwem w zakresie kompetencji</w:t>
            </w:r>
            <w:r>
              <w:rPr>
                <w:i/>
                <w:sz w:val="20"/>
                <w:szCs w:val="20"/>
              </w:rPr>
              <w:t xml:space="preserve"> cyfrowych</w:t>
            </w:r>
          </w:p>
        </w:tc>
        <w:tc>
          <w:tcPr>
            <w:tcW w:w="1139" w:type="dxa"/>
            <w:tcBorders>
              <w:top w:val="single" w:sz="12" w:space="0" w:color="92D050"/>
            </w:tcBorders>
            <w:vAlign w:val="center"/>
          </w:tcPr>
          <w:p w14:paraId="5DB40A74" w14:textId="75FE4ED7" w:rsidR="00FD69C6" w:rsidRPr="00F3485A" w:rsidRDefault="00FD69C6" w:rsidP="00FD69C6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osoby</w:t>
            </w:r>
          </w:p>
        </w:tc>
        <w:tc>
          <w:tcPr>
            <w:tcW w:w="1248" w:type="dxa"/>
            <w:gridSpan w:val="2"/>
            <w:tcBorders>
              <w:top w:val="single" w:sz="12" w:space="0" w:color="92D050"/>
            </w:tcBorders>
            <w:vAlign w:val="center"/>
          </w:tcPr>
          <w:p w14:paraId="5F01FE32" w14:textId="436868DD" w:rsidR="00FD69C6" w:rsidRPr="00FC63DC" w:rsidRDefault="00FD69C6" w:rsidP="00FD69C6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tcBorders>
              <w:top w:val="single" w:sz="12" w:space="0" w:color="92D050"/>
            </w:tcBorders>
            <w:vAlign w:val="center"/>
          </w:tcPr>
          <w:p w14:paraId="6A81C03E" w14:textId="69A96286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394" w:type="dxa"/>
            <w:gridSpan w:val="2"/>
            <w:tcBorders>
              <w:top w:val="single" w:sz="12" w:space="0" w:color="92D050"/>
            </w:tcBorders>
            <w:vAlign w:val="center"/>
          </w:tcPr>
          <w:p w14:paraId="0EB902F0" w14:textId="7F15D632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69" w:type="dxa"/>
            <w:gridSpan w:val="2"/>
            <w:tcBorders>
              <w:top w:val="single" w:sz="12" w:space="0" w:color="92D050"/>
            </w:tcBorders>
            <w:vAlign w:val="center"/>
          </w:tcPr>
          <w:p w14:paraId="6AB260B1" w14:textId="0B446C6B" w:rsidR="00FD69C6" w:rsidRPr="00F3485A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524" w:type="dxa"/>
            <w:gridSpan w:val="3"/>
            <w:tcBorders>
              <w:top w:val="single" w:sz="12" w:space="0" w:color="92D050"/>
            </w:tcBorders>
            <w:vAlign w:val="center"/>
          </w:tcPr>
          <w:p w14:paraId="5AFFEB15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mierzy liczbę osób objętych szkoleniami / doradztwem w zakresie nabywania / doskonalenia umiejętności</w:t>
            </w:r>
            <w:r>
              <w:t xml:space="preserve"> </w:t>
            </w:r>
            <w:r w:rsidRPr="00136D60">
              <w:t>warunkujących efektywne korzystanie z mediów elektronicznych tj. m.in. korzystania z komputera, różnych rodzajów</w:t>
            </w:r>
            <w:r>
              <w:t xml:space="preserve"> </w:t>
            </w:r>
            <w:r w:rsidRPr="00136D60">
              <w:t>oprogramowania, internetu oraz kompetencji ściśle informatycznych (np. programowanie, zarządzanie bazami</w:t>
            </w:r>
            <w:r>
              <w:t xml:space="preserve"> </w:t>
            </w:r>
            <w:r w:rsidRPr="00136D60">
              <w:t>danych, administracja sieciami, administracja witrynami internetowymi).</w:t>
            </w:r>
          </w:p>
          <w:p w14:paraId="520F34BC" w14:textId="646642F9" w:rsidR="00FD69C6" w:rsidRPr="00B12AE2" w:rsidRDefault="00FD69C6" w:rsidP="00F6220B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ma agregować wszystkie osoby objęte wsparciem </w:t>
            </w:r>
            <w:r w:rsidRPr="00136D60">
              <w:br/>
              <w:t>w zakresie TIK we wszystkich programach i projektach,</w:t>
            </w:r>
            <w:r>
              <w:t xml:space="preserve"> </w:t>
            </w:r>
            <w:r w:rsidRPr="00136D60">
              <w:t>także tych, gdzie szkolenie dotyczy obsługi specyficznego systemu teleinformatycznego, którego wdrożenia dotyczy</w:t>
            </w:r>
            <w:r w:rsidR="004C540F">
              <w:t xml:space="preserve"> </w:t>
            </w:r>
            <w:r w:rsidRPr="00136D60">
              <w:t>projekt. Taka sytuacja może wystąpić przy cross-financingu</w:t>
            </w:r>
            <w:r w:rsidRPr="00136D60">
              <w:br/>
              <w:t>w projektach POPC i RPO dotyczących e-usług</w:t>
            </w:r>
            <w:r>
              <w:t xml:space="preserve"> </w:t>
            </w:r>
            <w:r w:rsidRPr="00136D60">
              <w:t xml:space="preserve">publicznych, ale również np. w POIŚ przy okazji wdrażania inteligentnych </w:t>
            </w:r>
            <w:r w:rsidRPr="00136D60">
              <w:lastRenderedPageBreak/>
              <w:t>systemów transportowych. Identyfikacja</w:t>
            </w:r>
            <w:r>
              <w:t xml:space="preserve"> </w:t>
            </w:r>
            <w:r w:rsidRPr="00136D60">
              <w:t>charakteru i zakresu nabywanych kompetencji będzie możliwa dzięki możliwości pogrupowania wskaźnika według</w:t>
            </w:r>
            <w:r>
              <w:t xml:space="preserve"> </w:t>
            </w:r>
            <w:r w:rsidRPr="00136D60">
              <w:t>programów, osi priorytetowych i priorytetów inwestycyjnych.</w:t>
            </w:r>
            <w:r w:rsidRPr="00136D60" w:rsidDel="00997070">
              <w:t xml:space="preserve"> </w:t>
            </w:r>
          </w:p>
        </w:tc>
      </w:tr>
      <w:tr w:rsidR="00FD69C6" w:rsidRPr="00C93A1D" w14:paraId="018A2FA2" w14:textId="77777777" w:rsidTr="00F6220B">
        <w:trPr>
          <w:gridAfter w:val="2"/>
          <w:wAfter w:w="30" w:type="dxa"/>
          <w:trHeight w:val="4958"/>
          <w:jc w:val="center"/>
        </w:trPr>
        <w:tc>
          <w:tcPr>
            <w:tcW w:w="594" w:type="dxa"/>
            <w:gridSpan w:val="2"/>
            <w:tcBorders>
              <w:top w:val="single" w:sz="12" w:space="0" w:color="92D050"/>
            </w:tcBorders>
            <w:vAlign w:val="center"/>
          </w:tcPr>
          <w:p w14:paraId="055059F3" w14:textId="1D8ACC47" w:rsidR="00FD69C6" w:rsidRPr="00D02C9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34"/>
              <w:rPr>
                <w:b/>
                <w:color w:val="17365D" w:themeColor="text2" w:themeShade="BF"/>
              </w:rPr>
            </w:pPr>
            <w:r w:rsidRPr="00D02C92">
              <w:rPr>
                <w:b/>
              </w:rPr>
              <w:lastRenderedPageBreak/>
              <w:t>3.</w:t>
            </w:r>
          </w:p>
        </w:tc>
        <w:tc>
          <w:tcPr>
            <w:tcW w:w="2380" w:type="dxa"/>
            <w:tcBorders>
              <w:top w:val="single" w:sz="12" w:space="0" w:color="92D050"/>
            </w:tcBorders>
            <w:vAlign w:val="center"/>
          </w:tcPr>
          <w:p w14:paraId="769766B0" w14:textId="4765777F" w:rsidR="00FD69C6" w:rsidRPr="00F3485A" w:rsidRDefault="00FD69C6" w:rsidP="00FD69C6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projektów,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 xml:space="preserve">w których sfinansowano koszty </w:t>
            </w:r>
            <w:r>
              <w:rPr>
                <w:i/>
                <w:sz w:val="20"/>
                <w:szCs w:val="20"/>
              </w:rPr>
              <w:t>r</w:t>
            </w:r>
            <w:r w:rsidRPr="0040005D">
              <w:rPr>
                <w:i/>
                <w:sz w:val="20"/>
                <w:szCs w:val="20"/>
              </w:rPr>
              <w:t>acjonalnych usprawnień dla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0005D">
              <w:rPr>
                <w:i/>
                <w:sz w:val="20"/>
                <w:szCs w:val="20"/>
              </w:rPr>
              <w:t xml:space="preserve">osób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>z niepełnosprawnościami</w:t>
            </w:r>
          </w:p>
        </w:tc>
        <w:tc>
          <w:tcPr>
            <w:tcW w:w="1139" w:type="dxa"/>
            <w:tcBorders>
              <w:top w:val="single" w:sz="12" w:space="0" w:color="92D050"/>
            </w:tcBorders>
            <w:vAlign w:val="center"/>
          </w:tcPr>
          <w:p w14:paraId="294B5C9C" w14:textId="74365785" w:rsidR="00FD69C6" w:rsidRPr="00F3485A" w:rsidRDefault="00FD69C6" w:rsidP="00FD69C6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gridSpan w:val="2"/>
            <w:tcBorders>
              <w:top w:val="single" w:sz="12" w:space="0" w:color="92D050"/>
            </w:tcBorders>
            <w:vAlign w:val="center"/>
          </w:tcPr>
          <w:p w14:paraId="4B2C8B16" w14:textId="1EE349FB" w:rsidR="00FD69C6" w:rsidRPr="00FC63DC" w:rsidRDefault="00FD69C6" w:rsidP="00FD69C6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tcBorders>
              <w:top w:val="single" w:sz="12" w:space="0" w:color="92D050"/>
            </w:tcBorders>
            <w:vAlign w:val="center"/>
          </w:tcPr>
          <w:p w14:paraId="06E0B099" w14:textId="7A195561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394" w:type="dxa"/>
            <w:gridSpan w:val="2"/>
            <w:tcBorders>
              <w:top w:val="single" w:sz="12" w:space="0" w:color="92D050"/>
            </w:tcBorders>
            <w:vAlign w:val="center"/>
          </w:tcPr>
          <w:p w14:paraId="74E39CBE" w14:textId="07D9DA36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69" w:type="dxa"/>
            <w:gridSpan w:val="2"/>
            <w:tcBorders>
              <w:top w:val="single" w:sz="12" w:space="0" w:color="92D050"/>
            </w:tcBorders>
            <w:vAlign w:val="center"/>
          </w:tcPr>
          <w:p w14:paraId="5B0129F2" w14:textId="2EA1692D" w:rsidR="00FD69C6" w:rsidRPr="00F3485A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524" w:type="dxa"/>
            <w:gridSpan w:val="3"/>
            <w:tcBorders>
              <w:top w:val="single" w:sz="12" w:space="0" w:color="92D050"/>
            </w:tcBorders>
            <w:vAlign w:val="center"/>
          </w:tcPr>
          <w:p w14:paraId="6B756876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Racjonalne usprawnienie oznacza konieczne i odpowiednie zmiany oraz dostosowania, nie nakładające</w:t>
            </w:r>
            <w:r>
              <w:t xml:space="preserve"> </w:t>
            </w:r>
            <w:r w:rsidRPr="00136D60">
              <w:t>nieproporcjonalnego lub nadmiernego obciążenia, rozpatrywane osobno dla każdego konkretnego przypadku, w celu</w:t>
            </w:r>
            <w:r>
              <w:t xml:space="preserve"> </w:t>
            </w:r>
            <w:r w:rsidRPr="00136D60">
              <w:t xml:space="preserve">zapewnienia osobom </w:t>
            </w:r>
            <w:r>
              <w:br/>
            </w:r>
            <w:r w:rsidRPr="00136D60">
              <w:t>z niepełnosprawnościami możliwości korzystania z wszelkich praw człowieka i podstawowych</w:t>
            </w:r>
            <w:r>
              <w:t xml:space="preserve"> </w:t>
            </w:r>
            <w:r w:rsidRPr="00136D60">
              <w:t>wolności oraz ich wykonywania na zasadzie równości z innymi osobami.</w:t>
            </w:r>
          </w:p>
          <w:p w14:paraId="123559C7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mierzony w momencie rozliczenia wydatku związanego z racjonalnymi usprawnieniami.</w:t>
            </w:r>
          </w:p>
          <w:p w14:paraId="23C1D1C8" w14:textId="422428CB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Przykłady racjonalnych usprawnień: tłumacz języka migowego, transport niskopodłogowy, dostosowanie</w:t>
            </w:r>
            <w:r>
              <w:t xml:space="preserve"> </w:t>
            </w:r>
            <w:r w:rsidRPr="00136D60">
              <w:t>infrastruktury (nie tylko budynku, ale też dostosowanie infrastruktury komputerowej np. programy powiększające,</w:t>
            </w:r>
            <w:r>
              <w:t xml:space="preserve"> </w:t>
            </w:r>
            <w:r w:rsidRPr="00136D60">
              <w:t>mówiące, drukarki materiałów w alfabecie Braille'a)</w:t>
            </w:r>
            <w:r>
              <w:t xml:space="preserve">, osoby asystujące, odpowiednie </w:t>
            </w:r>
            <w:r w:rsidRPr="00136D60">
              <w:t>dostosowanie wyżywienia.</w:t>
            </w:r>
          </w:p>
          <w:p w14:paraId="5D9998C2" w14:textId="7834BED8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Definicja na podstawie: Wytyczne w zakresie realizacji zasady równości szans i nied</w:t>
            </w:r>
            <w:r>
              <w:t xml:space="preserve">yskryminacji, w tym dostępności </w:t>
            </w:r>
            <w:r w:rsidRPr="00136D60">
              <w:t xml:space="preserve">dla osób </w:t>
            </w:r>
            <w:r>
              <w:br/>
            </w:r>
            <w:r w:rsidRPr="00136D60">
              <w:t xml:space="preserve">z niepełnosprawnościami oraz równości szans kobiet </w:t>
            </w:r>
            <w:r>
              <w:br/>
            </w:r>
            <w:r w:rsidRPr="00136D60">
              <w:t>i mężczyzn w ramach funduszy unijnych na l</w:t>
            </w:r>
            <w:r>
              <w:t>ata 2014-</w:t>
            </w:r>
            <w:r w:rsidRPr="00136D60">
              <w:t>2020.</w:t>
            </w:r>
            <w:r w:rsidRPr="00136D60" w:rsidDel="00997070">
              <w:t xml:space="preserve"> </w:t>
            </w:r>
          </w:p>
          <w:p w14:paraId="67389A74" w14:textId="6A70EF6A" w:rsidR="00FD69C6" w:rsidRPr="00BA534A" w:rsidRDefault="00FD69C6" w:rsidP="004C540F"/>
        </w:tc>
      </w:tr>
      <w:tr w:rsidR="00F6220B" w:rsidRPr="00C93A1D" w14:paraId="4250C272" w14:textId="77777777" w:rsidTr="00F6220B">
        <w:trPr>
          <w:gridAfter w:val="1"/>
          <w:wAfter w:w="9" w:type="dxa"/>
          <w:trHeight w:val="699"/>
          <w:jc w:val="center"/>
        </w:trPr>
        <w:tc>
          <w:tcPr>
            <w:tcW w:w="15439" w:type="dxa"/>
            <w:gridSpan w:val="17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6C137A89" w14:textId="77777777" w:rsidR="00F6220B" w:rsidRPr="007C10A6" w:rsidRDefault="00F6220B" w:rsidP="00EA351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i/>
              </w:rPr>
            </w:pPr>
            <w:r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 xml:space="preserve">Wskaźniki wspólne EFS monitorowane we wszystkich priorytetach (CI) - </w:t>
            </w:r>
            <w:r>
              <w:rPr>
                <w:b/>
                <w:i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wybrane</w:t>
            </w:r>
          </w:p>
        </w:tc>
      </w:tr>
      <w:tr w:rsidR="00F6220B" w:rsidRPr="00C93A1D" w14:paraId="34579877" w14:textId="77777777" w:rsidTr="00F6220B">
        <w:trPr>
          <w:trHeight w:val="525"/>
          <w:jc w:val="center"/>
        </w:trPr>
        <w:tc>
          <w:tcPr>
            <w:tcW w:w="565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F405FD0" w14:textId="77777777" w:rsidR="00F6220B" w:rsidRPr="0002420B" w:rsidRDefault="00F6220B" w:rsidP="00F6220B">
            <w:pPr>
              <w:pStyle w:val="Akapitzlist"/>
              <w:numPr>
                <w:ilvl w:val="0"/>
                <w:numId w:val="38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3A88494" w14:textId="77777777" w:rsidR="00F6220B" w:rsidRPr="007B76FF" w:rsidRDefault="00F6220B" w:rsidP="00EA351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bezrobotnych, w tym</w:t>
            </w:r>
          </w:p>
          <w:p w14:paraId="02F30FB1" w14:textId="77777777" w:rsidR="00F6220B" w:rsidRPr="007B76FF" w:rsidRDefault="00F6220B" w:rsidP="00EA351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długotrwale bezrobotnych, objętych</w:t>
            </w:r>
          </w:p>
          <w:p w14:paraId="41AD9852" w14:textId="77777777" w:rsidR="00F6220B" w:rsidRPr="00F366DE" w:rsidRDefault="00F6220B" w:rsidP="00EA351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BB96346" w14:textId="77777777" w:rsidR="00F6220B" w:rsidRPr="006559F9" w:rsidRDefault="00F6220B" w:rsidP="00EA351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2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224AF9" w14:textId="77777777" w:rsidR="00F6220B" w:rsidRPr="006559F9" w:rsidRDefault="00F6220B" w:rsidP="00EA351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276" w:type="dxa"/>
            <w:gridSpan w:val="3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8A3046F" w14:textId="77777777" w:rsidR="00F6220B" w:rsidRPr="006559F9" w:rsidRDefault="00F6220B" w:rsidP="00EA351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0EDBEDC" w14:textId="77777777" w:rsidR="00F6220B" w:rsidRPr="006559F9" w:rsidRDefault="00F6220B" w:rsidP="00EA351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99" w:type="dxa"/>
            <w:gridSpan w:val="4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BBFE206" w14:textId="77777777" w:rsidR="00F6220B" w:rsidRPr="007B76FF" w:rsidRDefault="00F6220B" w:rsidP="00EA351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z Ram wykonania</w:t>
            </w:r>
          </w:p>
        </w:tc>
        <w:tc>
          <w:tcPr>
            <w:tcW w:w="5524" w:type="dxa"/>
            <w:gridSpan w:val="3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3B4EF3CB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bez pracy, gotowe do podj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cia pracy i aktywnie poszukuj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zatrudnienia. Definicja uwzgl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dnia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 zarejestrowane jako bezrobotne zgodnie z krajowymi definicjami, 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nie spełniaj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one wszystkich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trzech kryteriów.</w:t>
            </w:r>
          </w:p>
          <w:p w14:paraId="5EEB9713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Eurostat dla Polityki Ry</w:t>
            </w:r>
            <w:r w:rsidRPr="001843BF">
              <w:rPr>
                <w:rFonts w:cs="Arial"/>
                <w:sz w:val="20"/>
                <w:szCs w:val="20"/>
              </w:rPr>
              <w:t>nku Pracy. Definicja uwzględnia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zarówno osoby bezrobotne w rozumieniu badania aktywności ekonomiczn</w:t>
            </w:r>
            <w:r w:rsidRPr="001843BF">
              <w:rPr>
                <w:rFonts w:cs="Arial"/>
                <w:sz w:val="20"/>
                <w:szCs w:val="20"/>
              </w:rPr>
              <w:t>ej ludności (BAEL), jak i osoby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zarejestrowane jako bezrobotne.</w:t>
            </w:r>
          </w:p>
          <w:p w14:paraId="0F0F9610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zawodowo, naw</w:t>
            </w:r>
            <w:r w:rsidRPr="001843BF">
              <w:rPr>
                <w:rFonts w:cs="Arial"/>
                <w:sz w:val="20"/>
                <w:szCs w:val="20"/>
              </w:rPr>
              <w:t>et jeśli spełniają kryteria dla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bezrobotnych zgodnie z ww. definicją.</w:t>
            </w:r>
          </w:p>
          <w:p w14:paraId="63FC9557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kwalifikujące się do urlopu macierzyńskiego lub rodzicielskiego, które są bezrobotne w rozumieniu niniejszej</w:t>
            </w:r>
          </w:p>
          <w:p w14:paraId="6BFA06EA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definicji (nie pobierają świadczeń z t</w:t>
            </w:r>
            <w:r w:rsidRPr="001843BF">
              <w:rPr>
                <w:rFonts w:cs="Arial"/>
                <w:sz w:val="20"/>
                <w:szCs w:val="20"/>
              </w:rPr>
              <w:t xml:space="preserve">ytułu urlopu), należy </w:t>
            </w:r>
            <w:r w:rsidRPr="007B76FF">
              <w:rPr>
                <w:rFonts w:cs="Arial"/>
                <w:sz w:val="20"/>
                <w:szCs w:val="20"/>
              </w:rPr>
              <w:t>wykazywać jako osoby bezrobotne.</w:t>
            </w:r>
          </w:p>
          <w:p w14:paraId="71E836D1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ok</w:t>
            </w:r>
            <w:r w:rsidRPr="001843BF">
              <w:rPr>
                <w:rFonts w:cs="Arial"/>
                <w:sz w:val="20"/>
                <w:szCs w:val="20"/>
              </w:rPr>
              <w:t xml:space="preserve">reślany jest w dniu rozpoczęcia </w:t>
            </w:r>
            <w:r w:rsidRPr="007B76FF">
              <w:rPr>
                <w:rFonts w:cs="Arial"/>
                <w:sz w:val="20"/>
                <w:szCs w:val="20"/>
              </w:rPr>
              <w:t>uczestnictwa w projekcie.</w:t>
            </w:r>
          </w:p>
          <w:p w14:paraId="748BDAD8" w14:textId="77777777" w:rsidR="00F6220B" w:rsidRPr="007B76FF" w:rsidRDefault="00F6220B" w:rsidP="00EA351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baza danych Polityki Rynku Pracy (LMP).</w:t>
            </w:r>
            <w:r w:rsidRPr="007B76FF" w:rsidDel="00630C04">
              <w:rPr>
                <w:rFonts w:asciiTheme="minorHAnsi" w:hAnsiTheme="minorHAnsi" w:cs="Arial"/>
                <w:iCs/>
              </w:rPr>
              <w:t xml:space="preserve"> </w:t>
            </w:r>
          </w:p>
        </w:tc>
      </w:tr>
      <w:tr w:rsidR="00F6220B" w:rsidRPr="00C93A1D" w14:paraId="0E2F638F" w14:textId="77777777" w:rsidTr="00F6220B">
        <w:trPr>
          <w:trHeight w:val="525"/>
          <w:jc w:val="center"/>
        </w:trPr>
        <w:tc>
          <w:tcPr>
            <w:tcW w:w="565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80DAC9" w14:textId="77777777" w:rsidR="00F6220B" w:rsidRPr="0002420B" w:rsidRDefault="00F6220B" w:rsidP="00F6220B">
            <w:pPr>
              <w:pStyle w:val="Akapitzlist"/>
              <w:numPr>
                <w:ilvl w:val="0"/>
                <w:numId w:val="38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D56046C" w14:textId="77777777" w:rsidR="00F6220B" w:rsidRPr="007B76FF" w:rsidRDefault="00F6220B" w:rsidP="00EA351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</w:t>
            </w:r>
          </w:p>
          <w:p w14:paraId="57F46DF0" w14:textId="77777777" w:rsidR="00F6220B" w:rsidRPr="00F366DE" w:rsidRDefault="00F6220B" w:rsidP="00EA3518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72A6DB2" w14:textId="77777777" w:rsidR="00F6220B" w:rsidRPr="006559F9" w:rsidRDefault="00F6220B" w:rsidP="00EA351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2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BF39E2" w14:textId="77777777" w:rsidR="00F6220B" w:rsidRPr="006559F9" w:rsidRDefault="00F6220B" w:rsidP="00EA351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276" w:type="dxa"/>
            <w:gridSpan w:val="3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01C3C03" w14:textId="77777777" w:rsidR="00F6220B" w:rsidRPr="006559F9" w:rsidRDefault="00F6220B" w:rsidP="00EA3518">
            <w:pPr>
              <w:ind w:right="-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6371FAD" w14:textId="77777777" w:rsidR="00F6220B" w:rsidRPr="006559F9" w:rsidRDefault="00F6220B" w:rsidP="00EA351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99" w:type="dxa"/>
            <w:gridSpan w:val="4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BC6E892" w14:textId="77777777" w:rsidR="00F6220B" w:rsidRPr="006559F9" w:rsidRDefault="00F6220B" w:rsidP="00EA351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6559F9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524" w:type="dxa"/>
            <w:gridSpan w:val="3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68D4EFC5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Bierni zawodowo to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osoby, które w danej chwili nie tworz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zasobów siły roboczej (tzn. nie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nie s</w:t>
            </w:r>
            <w:r w:rsidRPr="001843B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bezrobotne).</w:t>
            </w:r>
          </w:p>
          <w:p w14:paraId="4BFF4463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osób pracujących jak we wskaźniku: liczba osób pracujących, łączni</w:t>
            </w:r>
            <w:r w:rsidRPr="001843BF">
              <w:rPr>
                <w:rFonts w:cs="Arial"/>
                <w:sz w:val="20"/>
                <w:szCs w:val="20"/>
              </w:rPr>
              <w:t>e z prowadzącymi działalność na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własny rachunek, objętych wsparciem w programie.</w:t>
            </w:r>
          </w:p>
          <w:p w14:paraId="1AEF726B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osoby bezrobotnej tak jak we wskaźniku: liczba osób bezrobotnych, w tym</w:t>
            </w:r>
            <w:r w:rsidRPr="001843BF">
              <w:rPr>
                <w:rFonts w:cs="Arial"/>
                <w:sz w:val="20"/>
                <w:szCs w:val="20"/>
              </w:rPr>
              <w:t xml:space="preserve"> długotrwale bezrobotnych,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wsparciem.</w:t>
            </w:r>
          </w:p>
          <w:p w14:paraId="6F052E49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zawodowo.</w:t>
            </w:r>
          </w:p>
          <w:p w14:paraId="34CDA84C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Osoby bę</w:t>
            </w:r>
            <w:r w:rsidRPr="007B76FF">
              <w:rPr>
                <w:rFonts w:cs="Arial"/>
                <w:sz w:val="20"/>
                <w:szCs w:val="20"/>
              </w:rPr>
              <w:t>dące na urlopie wychowawczym (rozumianym jako nieobecność w pracy, spowodowana opieką nad</w:t>
            </w:r>
          </w:p>
          <w:p w14:paraId="50BE362A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dzieckiem w okresie, który nie mieści się w ramach urlopu macierzyńskiego lub urlop</w:t>
            </w:r>
            <w:r w:rsidRPr="001843BF">
              <w:rPr>
                <w:rFonts w:cs="Arial"/>
                <w:sz w:val="20"/>
                <w:szCs w:val="20"/>
              </w:rPr>
              <w:t>u rodzicielskiego), uznawane są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za bierne zawodowo, chyba że są zarejestrowane już jako bezrobotne </w:t>
            </w:r>
            <w:r w:rsidRPr="001843BF">
              <w:rPr>
                <w:rFonts w:cs="Arial"/>
                <w:sz w:val="20"/>
                <w:szCs w:val="20"/>
              </w:rPr>
              <w:t>(wówczas status bezrobotnego ma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pierwszeństwo).</w:t>
            </w:r>
          </w:p>
          <w:p w14:paraId="2C30B8D5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prowadzące działalność na własny rachunek (w tym bezpłatnie pomagający osobie prowadzącej działalność</w:t>
            </w:r>
          </w:p>
          <w:p w14:paraId="642F9978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członek rodziny) nie są uznawane za bierne zawodowo.</w:t>
            </w:r>
          </w:p>
          <w:p w14:paraId="111F857C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0150A750" w14:textId="77777777" w:rsidR="00F6220B" w:rsidRPr="006559F9" w:rsidRDefault="00F6220B" w:rsidP="00EA3518">
            <w:pPr>
              <w:jc w:val="both"/>
              <w:rPr>
                <w:rFonts w:cs="Calibri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</w:t>
            </w:r>
            <w:r w:rsidRPr="001843BF">
              <w:rPr>
                <w:rFonts w:cs="Arial"/>
                <w:sz w:val="20"/>
                <w:szCs w:val="20"/>
              </w:rPr>
              <w:t>P). Sformułowania zapisane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51DB0">
              <w:rPr>
                <w:rFonts w:cs="Arial"/>
                <w:sz w:val="20"/>
                <w:szCs w:val="20"/>
              </w:rPr>
              <w:t xml:space="preserve">kursywą są </w:t>
            </w:r>
            <w:r w:rsidRPr="007B76FF">
              <w:rPr>
                <w:rFonts w:cs="Arial"/>
                <w:sz w:val="20"/>
                <w:szCs w:val="20"/>
              </w:rPr>
              <w:t>identyczne z definicją Eurostatu</w:t>
            </w:r>
            <w:r w:rsidRPr="006559F9" w:rsidDel="00630C04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6220B" w:rsidRPr="00C93A1D" w14:paraId="1D5525CC" w14:textId="77777777" w:rsidTr="00F6220B">
        <w:trPr>
          <w:trHeight w:val="523"/>
          <w:jc w:val="center"/>
        </w:trPr>
        <w:tc>
          <w:tcPr>
            <w:tcW w:w="565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B0B20F8" w14:textId="77777777" w:rsidR="00F6220B" w:rsidRPr="0002420B" w:rsidRDefault="00F6220B" w:rsidP="00F6220B">
            <w:pPr>
              <w:pStyle w:val="Akapitzlist"/>
              <w:numPr>
                <w:ilvl w:val="0"/>
                <w:numId w:val="38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FC9C08" w14:textId="77777777" w:rsidR="00F6220B" w:rsidRPr="007B76FF" w:rsidRDefault="00F6220B" w:rsidP="00EA351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pracujących, łącznie </w:t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69FA971A" w14:textId="77777777" w:rsidR="00F6220B" w:rsidRPr="00A15978" w:rsidRDefault="00F6220B" w:rsidP="00EA351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rachunek,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w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D83A320" w14:textId="77777777" w:rsidR="00F6220B" w:rsidRPr="006559F9" w:rsidRDefault="00F6220B" w:rsidP="00EA351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E15E4EE" w14:textId="77777777" w:rsidR="00F6220B" w:rsidRPr="006559F9" w:rsidRDefault="00F6220B" w:rsidP="00EA351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27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FC644A" w14:textId="77777777" w:rsidR="00F6220B" w:rsidRPr="007B76FF" w:rsidRDefault="00F6220B" w:rsidP="00EA351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A03EF4" w14:textId="77777777" w:rsidR="00F6220B" w:rsidRPr="007B76FF" w:rsidRDefault="00F6220B" w:rsidP="00EA351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99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9BE8D7" w14:textId="77777777" w:rsidR="00F6220B" w:rsidRPr="007B76FF" w:rsidRDefault="00F6220B" w:rsidP="00EA351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524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0B403D8D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Pracujący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to osoby w wieku 15 lat i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cej, które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za któr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otrzymuj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wynagrodzenie, z której czerpi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zyski lub korzy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rodzinne lub osoby posiadaj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zatrudnienie lub własn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które jednak chwilowo nie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pracowały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np. chorob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urlop, spór pracowniczy czy kształcenie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szkolenie.</w:t>
            </w:r>
          </w:p>
          <w:p w14:paraId="3A85FB9A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 własny rachunek –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, gospodarstwo rolne lub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-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uznawane za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 ile spełniony jest jeden z poni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szych warunków:</w:t>
            </w:r>
          </w:p>
          <w:p w14:paraId="41121152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1) Osoba pracuje w swojej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ci, praktyce zawodowej lub gospodarstwie r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olnym w celu uzyskania dochodu,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nie osi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ga zysków.</w:t>
            </w:r>
          </w:p>
          <w:p w14:paraId="6D2F507A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Definicja określona na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843BF">
              <w:rPr>
                <w:rFonts w:cs="Arial"/>
                <w:sz w:val="20"/>
                <w:szCs w:val="20"/>
              </w:rPr>
              <w:t>podstawie Wytycznych 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dot</w:t>
            </w:r>
            <w:r>
              <w:rPr>
                <w:rFonts w:cs="Arial"/>
                <w:sz w:val="20"/>
                <w:szCs w:val="20"/>
              </w:rPr>
              <w:t>. monitorowania i</w:t>
            </w:r>
            <w:r w:rsidRP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ewaluacji EFS 2014-2020</w:t>
            </w:r>
          </w:p>
          <w:p w14:paraId="4B2F426B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2) Osoba 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ca czas na prowadzenie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gospodarczej, praktyki zawo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dowej czy gospodarstwa rolnego,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eli nie zrealizowano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adnej sprzeda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lub usług i nic nie wyprodukowano (na przykład: rolnik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cy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prace w celu utrzymania swojego gospodarstwa; architekt sp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 czas w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oczekiwaniu na klientów w swoim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biurze; rybak naprawiaj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łódk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 siatki rybackie, aby móc dalej pracowa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; osoby 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ce w konwencjach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seminariach).</w:t>
            </w:r>
          </w:p>
          <w:p w14:paraId="6F13E480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3) Osoba jest w trakcie zakładania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ci gospodarczej, gospodarstwa rolnego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lub praktyki zawodowej; zalicza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tego zakup lub instalacj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sprz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tu, zamawianie towarów w ramach przygotowa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ń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uruchomienia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ci.</w:t>
            </w:r>
          </w:p>
          <w:p w14:paraId="6931F656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Bezpłatnie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członek rodziny uznawany jest za osob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wykonywan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siebie prac</w:t>
            </w:r>
            <w:r w:rsidRPr="00B51DB0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wnosi bezpo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 wkład w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gospodarstwo rolne lub 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posiadaniu lub prowadzon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spokrewnionego członka tego samego gospodarstwa domowego.</w:t>
            </w:r>
          </w:p>
          <w:p w14:paraId="3CC43A8D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badania aktywności ekonomicznej ludności (LFS).</w:t>
            </w:r>
          </w:p>
          <w:p w14:paraId="4F070FFC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Bezpłatnie pomagający osobie prowadzącej działalność członek rodziny uzn</w:t>
            </w:r>
            <w:r w:rsidRPr="00B51DB0">
              <w:rPr>
                <w:rFonts w:cs="Arial"/>
                <w:sz w:val="20"/>
                <w:szCs w:val="20"/>
              </w:rPr>
              <w:t>awany jest za „osobę prowadzącą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działalność na własny rachunek”.</w:t>
            </w:r>
          </w:p>
          <w:p w14:paraId="5CFD0B70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Żołnierze poborowi, którzy wykonywali określoną pracę, za którą otrzymywali wynagr</w:t>
            </w:r>
            <w:r w:rsidRPr="00B51DB0">
              <w:rPr>
                <w:rFonts w:cs="Arial"/>
                <w:sz w:val="20"/>
                <w:szCs w:val="20"/>
              </w:rPr>
              <w:t>odzenie lub innego rodzaju zysk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 czasie tygodnia odniesienia nie są uznawani za "osoby pracujące".</w:t>
            </w:r>
          </w:p>
          <w:p w14:paraId="72ACC02B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przebywające na urlopie macierzyńskim/ rodzicielskim (rozumianym jako świadcze</w:t>
            </w:r>
            <w:r w:rsidRPr="00B51DB0">
              <w:rPr>
                <w:rFonts w:cs="Arial"/>
                <w:sz w:val="20"/>
                <w:szCs w:val="20"/>
              </w:rPr>
              <w:t>nie pracownicze, który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zapewnia płatny lub bezpłatny czas wolny od pracy do momentu porodu i obej</w:t>
            </w:r>
            <w:r w:rsidRPr="00B51DB0">
              <w:rPr>
                <w:rFonts w:cs="Arial"/>
                <w:sz w:val="20"/>
                <w:szCs w:val="20"/>
              </w:rPr>
              <w:t>muje późniejszą krótkoterminową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opiekę nad dzieckiem) są uznawane za „osoby pracujące”.</w:t>
            </w:r>
          </w:p>
          <w:p w14:paraId="685534D2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przebywające na urlopie wychowawczym (rozumianym jako nieobecność </w:t>
            </w:r>
            <w:r w:rsidRPr="00B51DB0">
              <w:rPr>
                <w:rFonts w:cs="Arial"/>
                <w:sz w:val="20"/>
                <w:szCs w:val="20"/>
              </w:rPr>
              <w:t>w pracy, spowodowaną opieką nad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dzieckiem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w okresie, który nie mieści się w ramach urlopu macierzyńskiego lub </w:t>
            </w:r>
            <w:r w:rsidRPr="00B51DB0">
              <w:rPr>
                <w:rFonts w:cs="Arial"/>
                <w:sz w:val="20"/>
                <w:szCs w:val="20"/>
              </w:rPr>
              <w:t>rodzicielskiego) są uznawane 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„osoby bierne zawodowo”, chyba że są zarejestrowane już jako „osoby bezrobotn</w:t>
            </w:r>
            <w:r w:rsidRPr="00B51DB0">
              <w:rPr>
                <w:rFonts w:cs="Arial"/>
                <w:sz w:val="20"/>
                <w:szCs w:val="20"/>
              </w:rPr>
              <w:t>e” (wówczas status bezrobotnego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ma pierwszeństwo).</w:t>
            </w:r>
          </w:p>
          <w:p w14:paraId="27D8383A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„Zatrudnienie subsydiowane” jest uznawane za "zatrudnienie”. Należy je rozumi</w:t>
            </w:r>
            <w:r w:rsidRPr="00B51DB0">
              <w:rPr>
                <w:rFonts w:cs="Arial"/>
                <w:sz w:val="20"/>
                <w:szCs w:val="20"/>
              </w:rPr>
              <w:t>eć jako zachętę do zatrudnienia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zgodnie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z definicjami Polityki Rynku Pracy (LMP):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obejmuj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 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rodki, które ułatwiaj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rekrutacj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osób bezrobotnych </w:t>
            </w:r>
            <w:r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innych grup docelowych lub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zapewni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gło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 osób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nara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onych na przymusowe zwolnienie z pracy.</w:t>
            </w:r>
          </w:p>
          <w:p w14:paraId="2CF1DE0A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odnosz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subsydiowania miejsc pracy na otwartym rynku prac,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istnie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lub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zosta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stworzone bez dotacji publicznych i które, jak nale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nadziej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utrzymaj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 okresie subsydiowania.</w:t>
            </w:r>
          </w:p>
          <w:p w14:paraId="55DFFEB9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subsydiowane, 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zwykle sektora prywatnego, ale do uzyskania wsparcia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kwalifikuj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 z sektora publicznego i instytucji niekomercyjnych, przy czym rozró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nienie nie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jest wymagane.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 publiczne w postaci 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 w zakresie zatrudnienia 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swój udział w kosztach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zatrudnienia, przy czym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kosztów nadal ponosi pracodawca. Nie wyklucza to jednak przypadków,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kiedy wszystkie koszty pracy pokrywane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lony czas ze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rodków publicznych.</w:t>
            </w:r>
          </w:p>
          <w:p w14:paraId="0D3BD7ED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http://eur-lex.europa.eu/LexUriServ/LexUriServ.do?uri=CELEX:32003H0361:EN:HTML</w:t>
            </w:r>
          </w:p>
          <w:p w14:paraId="4BD754F9" w14:textId="77777777" w:rsidR="00F6220B" w:rsidRPr="007B76FF" w:rsidRDefault="00F6220B" w:rsidP="00EA351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badanie aktywności ekonomicznej ludności (BAEL).</w:t>
            </w:r>
          </w:p>
          <w:p w14:paraId="1EE39EF0" w14:textId="77777777" w:rsidR="00F6220B" w:rsidRPr="007B76FF" w:rsidRDefault="00F6220B" w:rsidP="00EA351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152EEA" w:rsidRPr="00C93A1D" w14:paraId="2E4B0910" w14:textId="77777777" w:rsidTr="00F6220B">
        <w:trPr>
          <w:gridAfter w:val="1"/>
          <w:wAfter w:w="9" w:type="dxa"/>
          <w:trHeight w:val="394"/>
          <w:jc w:val="center"/>
        </w:trPr>
        <w:tc>
          <w:tcPr>
            <w:tcW w:w="15439" w:type="dxa"/>
            <w:gridSpan w:val="1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14:paraId="347958A9" w14:textId="4F446670" w:rsidR="00152EEA" w:rsidRPr="00C93A1D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i/>
                <w:color w:val="0033CC"/>
              </w:rPr>
              <w:t>Oś priorytetowa IX</w:t>
            </w:r>
            <w:r w:rsidRPr="002C69A3">
              <w:rPr>
                <w:i/>
                <w:color w:val="0033CC"/>
              </w:rPr>
              <w:t xml:space="preserve">  </w:t>
            </w:r>
            <w:r>
              <w:rPr>
                <w:b/>
                <w:i/>
                <w:color w:val="0033CC"/>
              </w:rPr>
              <w:t>Wysoka jakość edukacji</w:t>
            </w:r>
          </w:p>
        </w:tc>
      </w:tr>
      <w:tr w:rsidR="00152EEA" w:rsidRPr="00C93A1D" w14:paraId="2D943DB8" w14:textId="77777777" w:rsidTr="00F6220B">
        <w:trPr>
          <w:gridAfter w:val="1"/>
          <w:wAfter w:w="9" w:type="dxa"/>
          <w:trHeight w:val="394"/>
          <w:jc w:val="center"/>
        </w:trPr>
        <w:tc>
          <w:tcPr>
            <w:tcW w:w="15439" w:type="dxa"/>
            <w:gridSpan w:val="1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39A29754" w14:textId="0E1ABE3E" w:rsidR="00152EEA" w:rsidRPr="002C69A3" w:rsidRDefault="00152EEA" w:rsidP="00152EEA">
            <w:pPr>
              <w:autoSpaceDE w:val="0"/>
              <w:autoSpaceDN w:val="0"/>
              <w:adjustRightInd w:val="0"/>
              <w:jc w:val="both"/>
              <w:rPr>
                <w:i/>
                <w:color w:val="0033CC"/>
              </w:rPr>
            </w:pPr>
            <w:r w:rsidRPr="00886496">
              <w:rPr>
                <w:i/>
                <w:color w:val="0033CC"/>
              </w:rPr>
              <w:t xml:space="preserve">Działanie 9.1 </w:t>
            </w:r>
            <w:r w:rsidRPr="002B32D6">
              <w:rPr>
                <w:b/>
                <w:i/>
                <w:color w:val="0033CC"/>
              </w:rPr>
              <w:t>Rozwój edukacji</w:t>
            </w:r>
          </w:p>
        </w:tc>
      </w:tr>
      <w:tr w:rsidR="00152EEA" w:rsidRPr="00C93A1D" w14:paraId="25AA8E19" w14:textId="77777777" w:rsidTr="00F6220B">
        <w:trPr>
          <w:gridAfter w:val="1"/>
          <w:wAfter w:w="9" w:type="dxa"/>
          <w:trHeight w:val="394"/>
          <w:jc w:val="center"/>
        </w:trPr>
        <w:tc>
          <w:tcPr>
            <w:tcW w:w="15439" w:type="dxa"/>
            <w:gridSpan w:val="1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FA77119" w14:textId="79C055EB" w:rsidR="00152EEA" w:rsidRPr="00C93A1D" w:rsidRDefault="00AB176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1678D">
              <w:rPr>
                <w:i/>
                <w:color w:val="0033CC"/>
              </w:rPr>
              <w:t>Poddziałanie 9.1.3</w:t>
            </w:r>
            <w:r w:rsidRPr="000A4089">
              <w:rPr>
                <w:b/>
                <w:i/>
                <w:color w:val="0033CC"/>
              </w:rPr>
              <w:t xml:space="preserve"> </w:t>
            </w:r>
            <w:r>
              <w:rPr>
                <w:b/>
                <w:i/>
                <w:color w:val="0033CC"/>
              </w:rPr>
              <w:t>Wsparcie edukacji przedszkolnej</w:t>
            </w:r>
          </w:p>
        </w:tc>
      </w:tr>
      <w:tr w:rsidR="00AB176A" w:rsidRPr="00C93A1D" w14:paraId="781179BA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1B1A0989" w14:textId="77777777" w:rsidR="00AB176A" w:rsidRPr="00136D60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C7F0147" w14:textId="77777777" w:rsidR="00AB176A" w:rsidRPr="001212B7" w:rsidRDefault="00AB176A" w:rsidP="00AB176A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r w:rsidRPr="001212B7">
              <w:rPr>
                <w:rFonts w:cs="Calibri"/>
                <w:i/>
                <w:sz w:val="20"/>
                <w:szCs w:val="20"/>
              </w:rPr>
              <w:t>Liczba dzieci objętych w ramach programu dodatkowymi zajęciami</w:t>
            </w:r>
          </w:p>
          <w:p w14:paraId="50EC85F0" w14:textId="7F60A581" w:rsidR="00AB176A" w:rsidRPr="0023430F" w:rsidRDefault="00AB176A" w:rsidP="00AB176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212B7">
              <w:rPr>
                <w:rFonts w:cs="Calibri"/>
                <w:i/>
                <w:sz w:val="20"/>
                <w:szCs w:val="20"/>
              </w:rPr>
              <w:t>zwiększającymi ich szanse edukacyjne w edukacji przedszkolnej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CDB38BB" w14:textId="39BA4637" w:rsidR="00AB176A" w:rsidRPr="00FE558E" w:rsidRDefault="00AB176A" w:rsidP="00AB176A">
            <w:pPr>
              <w:jc w:val="center"/>
              <w:rPr>
                <w:sz w:val="18"/>
                <w:szCs w:val="18"/>
              </w:rPr>
            </w:pPr>
            <w:r w:rsidRPr="009763D1">
              <w:rPr>
                <w:sz w:val="18"/>
                <w:szCs w:val="18"/>
              </w:rPr>
              <w:t>os.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211C3108" w14:textId="3A248BAA" w:rsidR="00AB176A" w:rsidRPr="00FC63DC" w:rsidRDefault="00AB176A" w:rsidP="00AB1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5191C43D" w14:textId="270ED0E0" w:rsidR="00AB176A" w:rsidRPr="00254FF1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EE473B">
              <w:rPr>
                <w:sz w:val="20"/>
                <w:szCs w:val="20"/>
              </w:rPr>
              <w:t>obligatoryjny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0224B2C" w14:textId="7E6FEC3A" w:rsidR="00AB176A" w:rsidRPr="00FC63DC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kluczowy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EAAD039" w14:textId="26C65885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4253A5">
              <w:rPr>
                <w:rFonts w:cs="Calibri"/>
              </w:rPr>
              <w:t>-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1A02CA24" w14:textId="223EAC14" w:rsidR="00AB176A" w:rsidRPr="007D00DC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>Liczba dzieci, które zostały objęte wsparciem bezpośrednim w postaci dodatkowych zajęć zwiększających ich szanse edukacyjne w ramach edukacji przedszkolnej. Wsparcie polega na rozszerzeniu oferty placówki przedszkolnej o zajęcia zwiększające szanse edukacyjne dzieci, tj. realizowane w celu wyrównania stwierdzonych deficytów (np. zajęcia z logopedą, psychologiem, pedagogiem i terapeutą itp.), a także w celu podnoszenia jakości edukacji przedszkolnej.</w:t>
            </w:r>
          </w:p>
        </w:tc>
      </w:tr>
      <w:tr w:rsidR="00AB176A" w:rsidRPr="00C93A1D" w14:paraId="1D35C005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35551715" w14:textId="77777777" w:rsidR="00AB176A" w:rsidRPr="00136D60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95C32DC" w14:textId="77777777" w:rsidR="00AB176A" w:rsidRPr="001212B7" w:rsidRDefault="00AB176A" w:rsidP="00AB176A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r w:rsidRPr="001212B7">
              <w:rPr>
                <w:rFonts w:cs="Calibri"/>
                <w:i/>
                <w:sz w:val="20"/>
                <w:szCs w:val="20"/>
              </w:rPr>
              <w:t>Liczba miejsc wychowania przedszkolnego dofinansowanych</w:t>
            </w:r>
          </w:p>
          <w:p w14:paraId="1C6355D3" w14:textId="41181995" w:rsidR="00AB176A" w:rsidRPr="00975F71" w:rsidRDefault="00AB176A" w:rsidP="00AB176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212B7">
              <w:rPr>
                <w:rFonts w:cs="Calibri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9E04749" w14:textId="549A460A" w:rsidR="00AB176A" w:rsidRPr="00991562" w:rsidRDefault="00AB176A" w:rsidP="00AB176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1C1B87E0" w14:textId="3D7DD077" w:rsidR="00AB176A" w:rsidRDefault="00AB176A" w:rsidP="00AB1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6738535F" w14:textId="1EB32F1D" w:rsidR="00AB176A" w:rsidRPr="00254FF1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EE473B">
              <w:rPr>
                <w:sz w:val="20"/>
                <w:szCs w:val="20"/>
              </w:rPr>
              <w:t>obligatoryjny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6E349C9" w14:textId="5B2322C2" w:rsidR="00AB176A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kluczowy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892A1E7" w14:textId="6DF9414B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4253A5">
              <w:rPr>
                <w:rFonts w:cs="Calibri"/>
              </w:rPr>
              <w:t>-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E4ACBC4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>Liczba nowoutworzonych miejsc dla dzieci w:</w:t>
            </w:r>
          </w:p>
          <w:p w14:paraId="6677D8DF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- ośrodkach wychowania przedszkolnego (tj. przedszkolach, oddziałach przedszkolnych szkołach podstawowych, innych formach wychowania przedszkolnego), </w:t>
            </w:r>
          </w:p>
          <w:p w14:paraId="1EC7C578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- istniejącej bazie oświatowej, </w:t>
            </w:r>
          </w:p>
          <w:p w14:paraId="70EF59FE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- innych budynkach gminnych, </w:t>
            </w:r>
          </w:p>
          <w:p w14:paraId="295C5777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w wyniku wsparcia udzielonego w projekcie. </w:t>
            </w:r>
          </w:p>
          <w:p w14:paraId="7C59D462" w14:textId="5694432D" w:rsidR="00AB176A" w:rsidRPr="007D00DC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>Wsparcie polega na utworzeniu miejsca wychowania przedszkolnego i dofinansowaniu działalno</w:t>
            </w:r>
            <w:r>
              <w:rPr>
                <w:rFonts w:cs="Arial"/>
                <w:sz w:val="20"/>
                <w:szCs w:val="20"/>
              </w:rPr>
              <w:t>ści bieżącej przez 12 miesięcy.</w:t>
            </w:r>
          </w:p>
        </w:tc>
      </w:tr>
      <w:tr w:rsidR="00AB176A" w:rsidRPr="00C93A1D" w14:paraId="332F6BC7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0844F8B4" w14:textId="058CB934" w:rsidR="00AB176A" w:rsidRPr="00136D60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905D25A" w14:textId="10E1F21D" w:rsidR="00AB176A" w:rsidRPr="00975F71" w:rsidRDefault="00AB176A" w:rsidP="00AB176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1212B7">
              <w:rPr>
                <w:rFonts w:cs="Calibri"/>
                <w:i/>
                <w:sz w:val="20"/>
                <w:szCs w:val="20"/>
              </w:rPr>
              <w:t>Liczba nauczycieli objętych wsparciem w programie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F63B30A" w14:textId="4711F111" w:rsidR="00AB176A" w:rsidRPr="00991562" w:rsidRDefault="00AB176A" w:rsidP="00AB176A">
            <w:pPr>
              <w:jc w:val="center"/>
              <w:rPr>
                <w:sz w:val="20"/>
                <w:szCs w:val="20"/>
              </w:rPr>
            </w:pPr>
            <w:r w:rsidRPr="009763D1">
              <w:rPr>
                <w:sz w:val="18"/>
                <w:szCs w:val="18"/>
              </w:rPr>
              <w:t>os.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3ED87980" w14:textId="1659EB4D" w:rsidR="00AB176A" w:rsidRPr="007D3E62" w:rsidRDefault="00AB176A" w:rsidP="00AB1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11B9E870" w14:textId="12A49F73" w:rsidR="00AB176A" w:rsidRPr="007D3E62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EE473B">
              <w:rPr>
                <w:sz w:val="20"/>
                <w:szCs w:val="20"/>
              </w:rPr>
              <w:t>obligatoryjny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416C85C" w14:textId="5085B447" w:rsidR="00AB176A" w:rsidRPr="007D3E62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kluczowy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91149B1" w14:textId="3461D5CB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4253A5">
              <w:rPr>
                <w:rFonts w:cs="Calibri"/>
              </w:rPr>
              <w:t>-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853A9F5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>Liczba wszystkich nauczycieli wychowania przedszkolnego, szkół i placówek dla dzieci i młodzieży objętych wsparciem, w tym w ramach: studiów podyplomowych, sieci współpracy i  samokształcenia, programów wspomagania.</w:t>
            </w:r>
          </w:p>
          <w:p w14:paraId="2CABF459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Sieci współpracy i samokształcenia dla nauczycieli oraz dyrektorów szkół i placówek to zespoły nauczycieli z różnych szkół i placówek, którzy w zorganizowany sposób współpracują ze sobą w celu doskonalenia własnej pracy, w szczególności poprzez wymianę doświadczeń. </w:t>
            </w:r>
          </w:p>
          <w:p w14:paraId="5BC9B3BA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Programy wspomagania służy pomocą  szkole lub placówce w wykonywaniu przez nią zadań. Zakres wspomagania wynika z analizy indywidualnej sytuacji szkoły i odpowiada na jej specyficzne potrzeby. Wspomaganie szkół i placówek powinno uwzględniać także wyniki i wnioski z nadzoru pedagogicznego oraz wyniki egzaminów zewnętrznych. </w:t>
            </w:r>
          </w:p>
          <w:p w14:paraId="4744BDBA" w14:textId="6400C5A7" w:rsidR="00AB176A" w:rsidRPr="007D00DC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>Uczestnik wsparcia bezpośredniego to osoba, dla której można zidentyfikować i uzyskać dane osobowe niezbędne do określenia wspólnych wskaźników produktu (m.in. płeć, status zatrudnienia, wiek i wykształcenie) i dla którego planowane jest poniesienie określonego wydatku.</w:t>
            </w:r>
          </w:p>
        </w:tc>
      </w:tr>
      <w:tr w:rsidR="00AB176A" w:rsidRPr="00870F1E" w14:paraId="576F25EF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59A6FA33" w14:textId="77777777" w:rsidR="00AB176A" w:rsidRPr="00136D60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5D960FF" w14:textId="0CAB84C4" w:rsidR="00AB176A" w:rsidRPr="00975F71" w:rsidRDefault="00AB176A" w:rsidP="00AB176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212B7">
              <w:rPr>
                <w:rFonts w:cs="Calibri"/>
                <w:i/>
                <w:sz w:val="20"/>
                <w:szCs w:val="20"/>
              </w:rPr>
              <w:t>Liczba osób pochodzących z obszarów wiejskich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F6B1B1C" w14:textId="2B1118AA" w:rsidR="00AB176A" w:rsidRPr="007D3E62" w:rsidRDefault="00AB176A" w:rsidP="00AB176A">
            <w:pPr>
              <w:jc w:val="center"/>
              <w:rPr>
                <w:sz w:val="20"/>
                <w:szCs w:val="20"/>
              </w:rPr>
            </w:pPr>
            <w:r w:rsidRPr="009763D1">
              <w:rPr>
                <w:sz w:val="18"/>
                <w:szCs w:val="18"/>
              </w:rPr>
              <w:t>os.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3AFBE068" w14:textId="49EBF3D8" w:rsidR="00AB176A" w:rsidRPr="007D3E62" w:rsidRDefault="00AB176A" w:rsidP="00AB1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6BDCCA73" w14:textId="7BF6873F" w:rsidR="00AB176A" w:rsidRPr="007D3E62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EE473B">
              <w:rPr>
                <w:sz w:val="20"/>
                <w:szCs w:val="20"/>
              </w:rPr>
              <w:t>obligatoryjny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04F815C" w14:textId="3BAF7DAA" w:rsidR="00AB176A" w:rsidRPr="007D3E62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kluczowy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5226955" w14:textId="5674AD4F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eastAsia="Calibri" w:cs="Calibri"/>
                <w:sz w:val="20"/>
                <w:szCs w:val="20"/>
              </w:rPr>
              <w:t>Wskaźnik z Ram wykonania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529A5A3" w14:textId="77777777" w:rsidR="00AB176A" w:rsidRPr="00A2566E" w:rsidRDefault="00AB176A" w:rsidP="00AB176A">
            <w:pPr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>Osoby pochodzące z obszarów wiejskich należy rozumieć jako osoby przebywające na obszarach słabo zaludnionych zgodnie ze stopniem urbanizacji (DEGURBA kategoria 3). Obszary słabo zaludnione to obszary, na których więcej niż 50% populacji zamieszkuje tereny wiejskie. Dane w ramach wskaźnika będą wykazane tylko raz w 2017 r.</w:t>
            </w:r>
          </w:p>
          <w:p w14:paraId="39C4344F" w14:textId="77777777" w:rsidR="00AB176A" w:rsidRPr="00A2566E" w:rsidRDefault="00AB176A" w:rsidP="00AB176A">
            <w:pPr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 xml:space="preserve">Uczestnik może charakteryzować się kilkoma cechami wskazującymi na szczególną sytuację. </w:t>
            </w:r>
          </w:p>
          <w:p w14:paraId="3717893A" w14:textId="77777777" w:rsidR="00AB176A" w:rsidRPr="00A2566E" w:rsidRDefault="00AB176A" w:rsidP="00AB176A">
            <w:pPr>
              <w:ind w:left="34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 xml:space="preserve">Dane będą gromadzone na podstawie Local Administrative Unit level of LAU 2 (lokalna administracja/gminy). Kategoria 3 DEGURBY powinna być określana na podstawie: http://ec.europa.eu/eurostat/ramon/miscellaneous/index.cfm?TargetUrl=DSP_DEGURBA  tabela z nagłówkiem "dla roku odniesienia 2012". </w:t>
            </w:r>
          </w:p>
          <w:p w14:paraId="242FC396" w14:textId="1CF83756" w:rsidR="00AB176A" w:rsidRPr="00AB176A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A2566E">
              <w:rPr>
                <w:rFonts w:eastAsia="Times New Roman" w:cs="Calibri"/>
                <w:sz w:val="20"/>
                <w:szCs w:val="20"/>
                <w:lang w:val="en-US" w:eastAsia="pl-PL"/>
              </w:rPr>
              <w:t xml:space="preserve">Źródło: </w:t>
            </w:r>
            <w:hyperlink r:id="rId9" w:history="1">
              <w:r w:rsidRPr="00A2566E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 w:eastAsia="pl-PL"/>
                </w:rPr>
                <w:t>http://epp.eurostat.ec.europa.eu/portal/page/portal/degree_urbanisation/introduction</w:t>
              </w:r>
            </w:hyperlink>
            <w:r w:rsidRPr="00A2566E">
              <w:rPr>
                <w:rFonts w:eastAsia="Times New Roman" w:cs="Calibri"/>
                <w:sz w:val="20"/>
                <w:szCs w:val="20"/>
                <w:lang w:val="en-US" w:eastAsia="pl-PL"/>
              </w:rPr>
              <w:t xml:space="preserve"> </w:t>
            </w:r>
            <w:hyperlink r:id="rId10" w:history="1">
              <w:r w:rsidRPr="00A2566E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 w:eastAsia="pl-PL"/>
                </w:rPr>
                <w:t>http://ec.europa.eu/eurostat/ramon/documents/DEGURBA/DEGURBA_Methodology_DG_REGIO.zip</w:t>
              </w:r>
            </w:hyperlink>
            <w:r w:rsidRPr="00A2566E">
              <w:rPr>
                <w:rFonts w:eastAsia="Times New Roman" w:cs="Calibri"/>
                <w:sz w:val="20"/>
                <w:szCs w:val="20"/>
                <w:lang w:val="en-US" w:eastAsia="pl-PL"/>
              </w:rPr>
              <w:t xml:space="preserve">  (DEGURBA methodology). </w:t>
            </w:r>
          </w:p>
        </w:tc>
      </w:tr>
      <w:tr w:rsidR="00AB176A" w:rsidRPr="00C93A1D" w14:paraId="567E28EB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1B4F136F" w14:textId="77777777" w:rsidR="00AB176A" w:rsidRPr="00AB176A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3A945DE" w14:textId="796F99BB" w:rsidR="00AB176A" w:rsidRPr="00975F71" w:rsidRDefault="00AB176A" w:rsidP="00AB176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C0FB0">
              <w:rPr>
                <w:i/>
                <w:sz w:val="20"/>
                <w:szCs w:val="20"/>
              </w:rPr>
              <w:t>Liczba nauczycieli pochodzących z obszarów wiejskich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FEA267F" w14:textId="4969A3AD" w:rsidR="00AB176A" w:rsidRPr="00FA2FFB" w:rsidRDefault="00AB176A" w:rsidP="00AB176A">
            <w:pPr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64D3AF99" w14:textId="74B910B7" w:rsidR="00AB176A" w:rsidRPr="00FA2FFB" w:rsidRDefault="00AB176A" w:rsidP="00AB176A">
            <w:pPr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28047C24" w14:textId="7AC339C2" w:rsidR="00AB176A" w:rsidRPr="007D3E62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pomocniczy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F1B38B5" w14:textId="2E8BBC4B" w:rsidR="00AB176A" w:rsidRPr="007D3E62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specyficzny</w:t>
            </w:r>
            <w:r w:rsidRPr="009C0FB0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1C3439E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 xml:space="preserve">Wskaźnik powiązany </w:t>
            </w:r>
            <w:r w:rsidRPr="009C0FB0">
              <w:rPr>
                <w:sz w:val="20"/>
                <w:szCs w:val="20"/>
              </w:rPr>
              <w:br/>
              <w:t xml:space="preserve">z wskaźnikiem </w:t>
            </w:r>
          </w:p>
          <w:p w14:paraId="7B05CAFA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C0FB0">
              <w:rPr>
                <w:i/>
                <w:sz w:val="20"/>
                <w:szCs w:val="20"/>
              </w:rPr>
              <w:t xml:space="preserve">Liczba osób pochodzących </w:t>
            </w:r>
          </w:p>
          <w:p w14:paraId="625B6A78" w14:textId="2848DD12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9C0FB0">
              <w:rPr>
                <w:i/>
                <w:sz w:val="20"/>
                <w:szCs w:val="20"/>
              </w:rPr>
              <w:t>z obszarów wiejskich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8105AF4" w14:textId="0E55C5F2" w:rsidR="00AB176A" w:rsidRPr="007D00DC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 xml:space="preserve">Osoby pochodzące z obszarów wiejskich rozumiane jak we wskaźniku </w:t>
            </w:r>
            <w:r w:rsidRPr="009C0FB0">
              <w:rPr>
                <w:i/>
                <w:sz w:val="20"/>
                <w:szCs w:val="20"/>
              </w:rPr>
              <w:t>Liczba osób pochodzących z obszarów wiejskich.</w:t>
            </w:r>
          </w:p>
        </w:tc>
      </w:tr>
      <w:tr w:rsidR="00AB176A" w:rsidRPr="00AB176A" w14:paraId="42139BC3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6E57FCFE" w14:textId="77777777" w:rsidR="00AB176A" w:rsidRPr="00136D60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0917E6E" w14:textId="0B97968E" w:rsidR="00AB176A" w:rsidRPr="00975F71" w:rsidRDefault="00AB176A" w:rsidP="00AB176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C0FB0">
              <w:rPr>
                <w:i/>
                <w:sz w:val="20"/>
                <w:szCs w:val="20"/>
              </w:rPr>
              <w:t xml:space="preserve">Liczba </w:t>
            </w:r>
            <w:r>
              <w:rPr>
                <w:i/>
                <w:sz w:val="20"/>
                <w:szCs w:val="20"/>
              </w:rPr>
              <w:t>dzieci</w:t>
            </w:r>
            <w:r w:rsidRPr="009C0FB0">
              <w:rPr>
                <w:i/>
                <w:sz w:val="20"/>
                <w:szCs w:val="20"/>
              </w:rPr>
              <w:t xml:space="preserve"> pochodzących z obszarów wiejskich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8AC1A01" w14:textId="51777D8E" w:rsidR="00AB176A" w:rsidRPr="00991562" w:rsidRDefault="00AB176A" w:rsidP="00AB176A">
            <w:pPr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6D6E5C3F" w14:textId="7018A4B9" w:rsidR="00AB176A" w:rsidRPr="007D3E62" w:rsidRDefault="00AB176A" w:rsidP="00AB176A">
            <w:pPr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3DD5CC75" w14:textId="7C743BDF" w:rsidR="00AB176A" w:rsidRPr="007D3E62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pomocniczy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E1169D0" w14:textId="1229E528" w:rsidR="00AB176A" w:rsidRPr="007D3E62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specyficzny</w:t>
            </w:r>
            <w:r w:rsidRPr="009C0FB0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C48EED8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 xml:space="preserve">Wskaźnik powiązany </w:t>
            </w:r>
            <w:r w:rsidRPr="009C0FB0">
              <w:rPr>
                <w:sz w:val="20"/>
                <w:szCs w:val="20"/>
              </w:rPr>
              <w:br/>
              <w:t xml:space="preserve">z wskaźnikiem </w:t>
            </w:r>
          </w:p>
          <w:p w14:paraId="44FFC0F7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C0FB0">
              <w:rPr>
                <w:i/>
                <w:sz w:val="20"/>
                <w:szCs w:val="20"/>
              </w:rPr>
              <w:t xml:space="preserve">Liczba osób pochodzących </w:t>
            </w:r>
          </w:p>
          <w:p w14:paraId="0D152B14" w14:textId="229A9E2C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9C0FB0">
              <w:rPr>
                <w:i/>
                <w:sz w:val="20"/>
                <w:szCs w:val="20"/>
              </w:rPr>
              <w:t>z obszarów wiejskich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02261EE" w14:textId="20B2BAAE" w:rsidR="00AB176A" w:rsidRPr="00AB176A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 xml:space="preserve">Osoby pochodzące z obszarów wiejskich rozumiane jak we wskaźniku </w:t>
            </w:r>
            <w:r w:rsidRPr="009C0FB0">
              <w:rPr>
                <w:i/>
                <w:sz w:val="20"/>
                <w:szCs w:val="20"/>
              </w:rPr>
              <w:t>Liczba osób pochodzących z obszarów wiejskich.</w:t>
            </w:r>
          </w:p>
        </w:tc>
      </w:tr>
      <w:tr w:rsidR="00AB176A" w:rsidRPr="00C93A1D" w14:paraId="4D6FE585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5177CCAE" w14:textId="50685495" w:rsidR="00AB176A" w:rsidRPr="00AB176A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BF40FA4" w14:textId="03B05DA3" w:rsidR="00AB176A" w:rsidRPr="00975F71" w:rsidRDefault="00AB176A" w:rsidP="00AB176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Liczba ośrodków wychowania przedszkolnego objętych wsparciem w programie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D08FE03" w14:textId="2004E113" w:rsidR="00AB176A" w:rsidRPr="00FE558E" w:rsidRDefault="00AB176A" w:rsidP="00AB1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3D05A79C" w14:textId="763B6BD8" w:rsidR="00AB176A" w:rsidRPr="00FC63DC" w:rsidRDefault="00AB176A" w:rsidP="00AB1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1CFBE271" w14:textId="60A5246B" w:rsidR="00AB176A" w:rsidRPr="00254FF1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pomocniczy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62AC991" w14:textId="3A730CE4" w:rsidR="00AB176A" w:rsidRPr="00FC63DC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specyficzny</w:t>
            </w:r>
            <w:r w:rsidRPr="009C0FB0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2838237" w14:textId="6AC24F82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4253A5">
              <w:rPr>
                <w:rFonts w:cs="Calibri"/>
              </w:rPr>
              <w:t>-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3B710F69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Liczba przedszkoli lub innych form wychowania przedszkolnego </w:t>
            </w:r>
            <w:r w:rsidRPr="009C0FB0">
              <w:rPr>
                <w:rFonts w:cs="Arial"/>
                <w:sz w:val="20"/>
                <w:szCs w:val="20"/>
              </w:rPr>
              <w:t>(zgodnie z ustawą z dnia 7 wrześn</w:t>
            </w:r>
            <w:r>
              <w:rPr>
                <w:rFonts w:cs="Arial"/>
                <w:sz w:val="20"/>
                <w:szCs w:val="20"/>
              </w:rPr>
              <w:t xml:space="preserve">ia 1991 r. o systemie oświaty), </w:t>
            </w:r>
            <w:r w:rsidRPr="009C0FB0">
              <w:rPr>
                <w:rFonts w:cs="Arial"/>
                <w:sz w:val="20"/>
                <w:szCs w:val="20"/>
              </w:rPr>
              <w:t>objętych wsparciem w ramach projekt</w:t>
            </w:r>
            <w:r>
              <w:rPr>
                <w:rFonts w:cs="Arial"/>
                <w:sz w:val="20"/>
                <w:szCs w:val="20"/>
              </w:rPr>
              <w:t>u</w:t>
            </w:r>
            <w:r w:rsidRPr="009C0FB0">
              <w:rPr>
                <w:rFonts w:cs="Arial"/>
                <w:sz w:val="20"/>
                <w:szCs w:val="20"/>
              </w:rPr>
              <w:t>.</w:t>
            </w:r>
            <w:r w:rsidRPr="009C0FB0">
              <w:rPr>
                <w:sz w:val="20"/>
                <w:szCs w:val="20"/>
              </w:rPr>
              <w:t xml:space="preserve"> </w:t>
            </w:r>
          </w:p>
          <w:p w14:paraId="7A2736D8" w14:textId="7B68F92C" w:rsidR="00AB176A" w:rsidRPr="00C93A1D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>Za moment pomiaru wskaźnika należy uznać datę podpisania umowy o dofinansowanie projektu.</w:t>
            </w:r>
          </w:p>
        </w:tc>
      </w:tr>
      <w:tr w:rsidR="00AB176A" w:rsidRPr="00C93A1D" w14:paraId="3DDF875E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312CF088" w14:textId="77777777" w:rsidR="00AB176A" w:rsidRPr="00136D60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4146D45" w14:textId="052BF883" w:rsidR="00AB176A" w:rsidRPr="00A229B6" w:rsidRDefault="00AB176A" w:rsidP="00AB176A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cs="Arial"/>
                <w:i/>
              </w:rPr>
            </w:pPr>
            <w:r w:rsidRPr="009C0FB0">
              <w:rPr>
                <w:i/>
              </w:rPr>
              <w:t xml:space="preserve">Liczba </w:t>
            </w:r>
            <w:r>
              <w:rPr>
                <w:i/>
              </w:rPr>
              <w:t>dzieci</w:t>
            </w:r>
            <w:r w:rsidRPr="009C0FB0">
              <w:rPr>
                <w:i/>
              </w:rPr>
              <w:t xml:space="preserve"> ze specjalnym</w:t>
            </w:r>
            <w:r>
              <w:rPr>
                <w:i/>
              </w:rPr>
              <w:t>i potrzebami edukacyjnymi objętych</w:t>
            </w:r>
            <w:r w:rsidRPr="009C0FB0">
              <w:rPr>
                <w:i/>
              </w:rPr>
              <w:t xml:space="preserve"> wsparciem w procesie indywidualizacji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EB0BE11" w14:textId="02E95FE2" w:rsidR="00AB176A" w:rsidRPr="00FE6144" w:rsidRDefault="00AB176A" w:rsidP="00AB176A">
            <w:pPr>
              <w:jc w:val="center"/>
              <w:rPr>
                <w:sz w:val="18"/>
                <w:szCs w:val="18"/>
              </w:rPr>
            </w:pPr>
            <w:r w:rsidRPr="009C0FB0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1D786F64" w14:textId="4E100D9C" w:rsidR="00AB176A" w:rsidRDefault="00AB176A" w:rsidP="00AB176A">
            <w:pPr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3056014E" w14:textId="58E6EF77" w:rsidR="00AB176A" w:rsidRPr="00254FF1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pomocniczy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E7CED17" w14:textId="2E7D9840" w:rsidR="00AB176A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specyficzny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9A090CD" w14:textId="234697EF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9C0FB0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63F66A4" w14:textId="77777777" w:rsidR="00AB176A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 xml:space="preserve">Liczba </w:t>
            </w:r>
            <w:r>
              <w:rPr>
                <w:rFonts w:cs="Arial"/>
                <w:sz w:val="20"/>
                <w:szCs w:val="20"/>
              </w:rPr>
              <w:t>dzieci</w:t>
            </w:r>
            <w:r w:rsidRPr="009C0FB0">
              <w:rPr>
                <w:rFonts w:cs="Arial"/>
                <w:sz w:val="20"/>
                <w:szCs w:val="20"/>
              </w:rPr>
              <w:t xml:space="preserve"> ze specjalnymi potrzebami edukacyjnymi, których objęto działaniami dot. indywidualizacji pracy z </w:t>
            </w:r>
            <w:r>
              <w:rPr>
                <w:rFonts w:cs="Arial"/>
                <w:sz w:val="20"/>
                <w:szCs w:val="20"/>
              </w:rPr>
              <w:t xml:space="preserve">dzieckiem </w:t>
            </w:r>
            <w:r w:rsidRPr="009C0FB0">
              <w:rPr>
                <w:rFonts w:cs="Arial"/>
                <w:sz w:val="20"/>
                <w:szCs w:val="20"/>
              </w:rPr>
              <w:t xml:space="preserve">w ramach projektu. </w:t>
            </w:r>
          </w:p>
          <w:p w14:paraId="295191F9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Specjalne potrzeby edukacyjne - potrzeby, które w procesie rozwoju dzieci wynikają z:</w:t>
            </w:r>
          </w:p>
          <w:p w14:paraId="3959C29E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a) zaburzeń (np. rozwojowych, obniżonych możliwości intelektualnych, wad wymowy),</w:t>
            </w:r>
          </w:p>
          <w:p w14:paraId="438BF3FA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b) niepełnosprawności (np. upośledzenie umysłowe, niewidzenie i słabe widzenie, niesłyszenie i słabe słyszenie, afazja, niepełnosprawność ruchowa, całościowe zaburzenie rozwojowe ze spektrum autyzmu, w tym zespół Aspergera, niepełnosprawności sprzężone),</w:t>
            </w:r>
          </w:p>
          <w:p w14:paraId="6B1B89B8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c) choroby przewlekłej,</w:t>
            </w:r>
          </w:p>
          <w:p w14:paraId="1A7F5820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d) niedostosowania społecznego albo zagrożenia niedostosowaniem społecznym,</w:t>
            </w:r>
          </w:p>
          <w:p w14:paraId="226475E7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e) zaburzeń w funkcjonowaniu emocjonalno–społecznym, powstających m. in. w wyniku sytuacji kryzysowych lub traumatycznych,</w:t>
            </w:r>
          </w:p>
          <w:p w14:paraId="030BF431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f) trudności adaptacyjnych związanych z różnicami kulturowymi lub ze zmianą środowiska edukacyjnego, w tym związanych z wcześniejszym kształceniem za granicą,</w:t>
            </w:r>
          </w:p>
          <w:p w14:paraId="7CA3A409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g) specyficznych trudności w uczeniu się, w tym niepowodzeń edukacyjnych,</w:t>
            </w:r>
          </w:p>
          <w:p w14:paraId="2CD8DBDE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h) szczególnych uzdolnień,</w:t>
            </w:r>
          </w:p>
          <w:p w14:paraId="1677A21A" w14:textId="77777777" w:rsidR="00AB176A" w:rsidRPr="00BE441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E4417">
              <w:rPr>
                <w:rFonts w:cs="Arial"/>
                <w:sz w:val="20"/>
                <w:szCs w:val="20"/>
              </w:rPr>
              <w:t>i) zaniedbań środowiskowych związanych z sytuacją bytową dziecka i jego rodziny, sposobem spędzania czasu wolnego i kontaktami środowiskowymi.</w:t>
            </w:r>
          </w:p>
          <w:p w14:paraId="2FDFF5A5" w14:textId="069279BE" w:rsidR="00AB176A" w:rsidRPr="007D00DC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 xml:space="preserve">Za moment pomiaru wskaźnika należy przyjąć rozpoczęcie uczestnictwa </w:t>
            </w:r>
            <w:r>
              <w:rPr>
                <w:rFonts w:cs="Arial"/>
                <w:sz w:val="20"/>
                <w:szCs w:val="20"/>
              </w:rPr>
              <w:t>dziecka</w:t>
            </w:r>
            <w:r w:rsidRPr="009C0FB0">
              <w:rPr>
                <w:rFonts w:cs="Arial"/>
                <w:sz w:val="20"/>
                <w:szCs w:val="20"/>
              </w:rPr>
              <w:t xml:space="preserve"> w ramach zajęć projektowych.</w:t>
            </w:r>
          </w:p>
        </w:tc>
      </w:tr>
      <w:tr w:rsidR="00AB176A" w:rsidRPr="00C93A1D" w14:paraId="6738DE23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756ED845" w14:textId="77777777" w:rsidR="00AB176A" w:rsidRPr="00136D60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C552DA3" w14:textId="77777777" w:rsidR="00AB176A" w:rsidRPr="001212B7" w:rsidRDefault="00AB176A" w:rsidP="00AB176A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r w:rsidRPr="001212B7">
              <w:rPr>
                <w:rFonts w:cs="Calibri"/>
                <w:i/>
                <w:sz w:val="20"/>
                <w:szCs w:val="20"/>
              </w:rPr>
              <w:t xml:space="preserve">Liczba miejsc wychowania przedszkolnego </w:t>
            </w:r>
            <w:r>
              <w:rPr>
                <w:rFonts w:cs="Calibri"/>
                <w:i/>
                <w:sz w:val="20"/>
                <w:szCs w:val="20"/>
              </w:rPr>
              <w:t xml:space="preserve">dostosowanych do potrzeb dzieci z niepełnosprawnościami </w:t>
            </w:r>
            <w:r w:rsidRPr="001212B7">
              <w:rPr>
                <w:rFonts w:cs="Calibri"/>
                <w:i/>
                <w:sz w:val="20"/>
                <w:szCs w:val="20"/>
              </w:rPr>
              <w:t>dofinansowanych</w:t>
            </w:r>
          </w:p>
          <w:p w14:paraId="386BC694" w14:textId="2AC4A839" w:rsidR="00AB176A" w:rsidRPr="00A229B6" w:rsidRDefault="00AB176A" w:rsidP="00AB176A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cs="Arial"/>
                <w:i/>
              </w:rPr>
            </w:pPr>
            <w:r w:rsidRPr="001212B7">
              <w:rPr>
                <w:rFonts w:cs="Calibri"/>
                <w:i/>
              </w:rPr>
              <w:t>w programie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9ADEAD1" w14:textId="55765CA9" w:rsidR="00AB176A" w:rsidRPr="00FE6144" w:rsidRDefault="00AB176A" w:rsidP="00AB176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szt</w:t>
            </w:r>
            <w:r w:rsidRPr="007B76FF">
              <w:rPr>
                <w:sz w:val="20"/>
                <w:szCs w:val="20"/>
              </w:rPr>
              <w:t>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40161F9B" w14:textId="38CDA3F3" w:rsidR="00AB176A" w:rsidRDefault="00AB176A" w:rsidP="00AB176A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2BC74252" w14:textId="441771FA" w:rsidR="00AB176A" w:rsidRPr="00254FF1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pomocniczy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648026F" w14:textId="527C4F59" w:rsidR="00AB176A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specyficzny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3920A1B" w14:textId="05FCE6C5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22DDA73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>Liczba</w:t>
            </w:r>
            <w:r>
              <w:rPr>
                <w:rFonts w:cs="Arial"/>
                <w:sz w:val="20"/>
                <w:szCs w:val="20"/>
              </w:rPr>
              <w:t xml:space="preserve"> dostosowanych istniejących oraz</w:t>
            </w:r>
            <w:r w:rsidRPr="001212B7">
              <w:rPr>
                <w:rFonts w:cs="Arial"/>
                <w:sz w:val="20"/>
                <w:szCs w:val="20"/>
              </w:rPr>
              <w:t xml:space="preserve"> nowoutworzonych miejsc dla dzieci</w:t>
            </w:r>
            <w:r>
              <w:rPr>
                <w:rFonts w:cs="Arial"/>
                <w:sz w:val="20"/>
                <w:szCs w:val="20"/>
              </w:rPr>
              <w:t xml:space="preserve"> z niepełnosprawnościami</w:t>
            </w:r>
            <w:r w:rsidRPr="001212B7">
              <w:rPr>
                <w:rFonts w:cs="Arial"/>
                <w:sz w:val="20"/>
                <w:szCs w:val="20"/>
              </w:rPr>
              <w:t xml:space="preserve"> w:</w:t>
            </w:r>
          </w:p>
          <w:p w14:paraId="4422412C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- ośrodkach wychowania przedszkolnego (tj. przedszkolach, oddziałach przedszkolnych szkołach podstawowych, innych formach wychowania przedszkolnego), </w:t>
            </w:r>
          </w:p>
          <w:p w14:paraId="712B1531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- istniejącej bazie oświatowej, </w:t>
            </w:r>
          </w:p>
          <w:p w14:paraId="1CD8DB55" w14:textId="77777777" w:rsidR="00AB176A" w:rsidRPr="001212B7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 xml:space="preserve">- innych budynkach gminnych, </w:t>
            </w:r>
          </w:p>
          <w:p w14:paraId="46632053" w14:textId="77777777" w:rsidR="00AB176A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212B7">
              <w:rPr>
                <w:rFonts w:cs="Arial"/>
                <w:sz w:val="20"/>
                <w:szCs w:val="20"/>
              </w:rPr>
              <w:t>w wyniku wsparcia udzielonego w projekcie.</w:t>
            </w:r>
          </w:p>
          <w:p w14:paraId="749A86F8" w14:textId="63DBDED3" w:rsidR="00AB176A" w:rsidRPr="007D00DC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Za osoby niepełnosprawne uznaje się osoby niepełnosprawne </w:t>
            </w:r>
            <w:r w:rsidRPr="007B76FF">
              <w:rPr>
                <w:rFonts w:cs="Arial"/>
                <w:sz w:val="20"/>
                <w:szCs w:val="20"/>
              </w:rPr>
              <w:br/>
              <w:t>w świetle przepisów ustawy z dnia 27 sierpnia 1997 r.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 rehabilitacji zawodowej i społecznej oraz zatrudnieniu osób niepełnosprawnych (Dz.U. 1997 nr 123 poz. 776), a także osoby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 zaburzeniami psychicznymi, o których mowa w ustawie z dnia 19 sierpnia 1994 r. o ochronie zdrowia psychicznego (Dz. U. 1994 nr 111, poz. 535), tj. osoby z odpowiednim orzeczeniem lub innym dokumentem poświadczającym stan zdrowia.</w:t>
            </w:r>
          </w:p>
        </w:tc>
      </w:tr>
      <w:tr w:rsidR="00AB176A" w:rsidRPr="00C93A1D" w14:paraId="18F52DE9" w14:textId="77777777" w:rsidTr="00F6220B">
        <w:trPr>
          <w:gridAfter w:val="2"/>
          <w:wAfter w:w="30" w:type="dxa"/>
          <w:trHeight w:val="394"/>
          <w:jc w:val="center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46F960AB" w14:textId="77777777" w:rsidR="00AB176A" w:rsidRPr="00136D60" w:rsidRDefault="00AB176A" w:rsidP="00AB176A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5003A38" w14:textId="77777777" w:rsidR="00AB176A" w:rsidRPr="00571BBF" w:rsidRDefault="00AB176A" w:rsidP="00AB176A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r w:rsidRPr="00571BBF">
              <w:rPr>
                <w:rFonts w:cs="Calibri"/>
                <w:i/>
                <w:sz w:val="20"/>
                <w:szCs w:val="20"/>
              </w:rPr>
              <w:t>Liczba nauczycieli, którzy uzyskali kwalifikacje lub nabyli kompetencje po</w:t>
            </w:r>
          </w:p>
          <w:p w14:paraId="67FE60B4" w14:textId="74C62998" w:rsidR="00AB176A" w:rsidRPr="00A229B6" w:rsidRDefault="00AB176A" w:rsidP="00AB176A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cs="Arial"/>
                <w:i/>
              </w:rPr>
            </w:pPr>
            <w:r w:rsidRPr="00571BBF">
              <w:rPr>
                <w:rFonts w:cs="Calibri"/>
                <w:i/>
              </w:rPr>
              <w:t>opuszczeniu programu</w:t>
            </w:r>
          </w:p>
        </w:tc>
        <w:tc>
          <w:tcPr>
            <w:tcW w:w="1139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4D0B867" w14:textId="71368F59" w:rsidR="00AB176A" w:rsidRPr="00FE6144" w:rsidRDefault="00AB176A" w:rsidP="00AB176A">
            <w:pPr>
              <w:jc w:val="center"/>
              <w:rPr>
                <w:sz w:val="18"/>
                <w:szCs w:val="18"/>
              </w:rPr>
            </w:pPr>
            <w:r w:rsidRPr="009C0FB0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55262F29" w14:textId="77777777" w:rsidR="00AB176A" w:rsidRPr="0016584B" w:rsidRDefault="00AB176A" w:rsidP="00AB176A">
            <w:pPr>
              <w:jc w:val="center"/>
              <w:rPr>
                <w:sz w:val="20"/>
                <w:szCs w:val="20"/>
              </w:rPr>
            </w:pPr>
            <w:r w:rsidRPr="0016584B">
              <w:rPr>
                <w:sz w:val="20"/>
                <w:szCs w:val="20"/>
              </w:rPr>
              <w:t>rezultat</w:t>
            </w:r>
          </w:p>
          <w:p w14:paraId="763F072E" w14:textId="34EC0C0A" w:rsidR="00AB176A" w:rsidRDefault="00AB176A" w:rsidP="00AB176A">
            <w:pPr>
              <w:jc w:val="center"/>
              <w:rPr>
                <w:sz w:val="20"/>
                <w:szCs w:val="20"/>
              </w:rPr>
            </w:pPr>
            <w:r w:rsidRPr="0016584B">
              <w:rPr>
                <w:sz w:val="20"/>
                <w:szCs w:val="20"/>
              </w:rPr>
              <w:t>bezpośredni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6B035FA7" w14:textId="5E96B4CC" w:rsidR="00AB176A" w:rsidRPr="00254FF1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16584B">
              <w:rPr>
                <w:sz w:val="20"/>
                <w:szCs w:val="20"/>
              </w:rPr>
              <w:t>obligatoryjny</w:t>
            </w:r>
          </w:p>
        </w:tc>
        <w:tc>
          <w:tcPr>
            <w:tcW w:w="1394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B7971E4" w14:textId="56A2D5CB" w:rsidR="00AB176A" w:rsidRDefault="00AB176A" w:rsidP="00AB176A">
            <w:pPr>
              <w:ind w:right="-206"/>
              <w:jc w:val="center"/>
              <w:rPr>
                <w:sz w:val="20"/>
                <w:szCs w:val="20"/>
              </w:rPr>
            </w:pPr>
            <w:r w:rsidRPr="009C0FB0">
              <w:rPr>
                <w:sz w:val="20"/>
                <w:szCs w:val="20"/>
              </w:rPr>
              <w:t>kluczowy</w:t>
            </w:r>
          </w:p>
        </w:tc>
        <w:tc>
          <w:tcPr>
            <w:tcW w:w="1869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D132B24" w14:textId="3FF0A4DD" w:rsidR="00AB176A" w:rsidRDefault="00AB176A" w:rsidP="00AB176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9C0FB0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4" w:type="dxa"/>
            <w:gridSpan w:val="3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DF17D24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 xml:space="preserve">Osoby, które otrzymały wsparcie Europejskiego Funduszu Społecznego i uzyskały kwalifikacje po opuszczeniu projektu. </w:t>
            </w:r>
            <w:r w:rsidRPr="00F72BF1">
              <w:rPr>
                <w:rFonts w:cs="Arial"/>
                <w:i/>
                <w:sz w:val="20"/>
                <w:szCs w:val="20"/>
              </w:rPr>
              <w:t xml:space="preserve">Kwalifikacje należy rozumieć jako formalny wynik oceny </w:t>
            </w:r>
            <w:r w:rsidRPr="00F72BF1">
              <w:rPr>
                <w:rFonts w:cs="Arial"/>
                <w:i/>
                <w:sz w:val="20"/>
                <w:szCs w:val="20"/>
              </w:rPr>
              <w:br/>
              <w:t>i walidacji, który uzyskuje się w sytuacji, kiedy właściwy organ uznaje, że dana osoba osiągnęła efekty uczenia się spełniające określone standardy.</w:t>
            </w:r>
          </w:p>
          <w:p w14:paraId="045A932A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>Wskaźnik mierzony do czterech tygodni od zakończenia przez uczestnika udziału w projekcie.</w:t>
            </w:r>
          </w:p>
          <w:p w14:paraId="21CC77DE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>Źródło: Komisja Europejska, Europejskie Ramy Kwalifikacji http://ec.europa.eu/eqf/terms_en.htm</w:t>
            </w:r>
          </w:p>
          <w:p w14:paraId="3C1F4FAC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>Sformułowania zapisane kursywą są identyczne z definicją Europejskich Ram Kwalifikacji. Wskaźnik ten może być rozbity między poziomami ISCED i EQF, przy czym rejestruje się najwyższy osiągnięty wynik. Wykazywać należy wyłącznie kwalifikacje osiągnięte w wyniku operacji Europejskiego Funduszu Społecznego. Powinny one być zgłaszane tylko raz dla uczestnika/projektu. Fakt nabycia kompetencji będzie weryfikowany w ramach następujących etapów:</w:t>
            </w:r>
          </w:p>
          <w:p w14:paraId="76BDE957" w14:textId="003DC18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 xml:space="preserve">a) ETAP I – Zakres – zdefiniowanie w ramach wniosku </w:t>
            </w:r>
            <w:r w:rsidRPr="009C0FB0">
              <w:rPr>
                <w:rFonts w:cs="Arial"/>
                <w:sz w:val="20"/>
                <w:szCs w:val="20"/>
              </w:rPr>
              <w:br/>
              <w:t>o dofinansowanie lub w regulaminie konkursu grupy docelowej do</w:t>
            </w:r>
            <w:r w:rsidR="004C540F">
              <w:rPr>
                <w:rFonts w:cs="Arial"/>
                <w:sz w:val="20"/>
                <w:szCs w:val="20"/>
              </w:rPr>
              <w:t xml:space="preserve"> </w:t>
            </w:r>
            <w:r w:rsidRPr="009C0FB0">
              <w:rPr>
                <w:rFonts w:cs="Arial"/>
                <w:sz w:val="20"/>
                <w:szCs w:val="20"/>
              </w:rPr>
              <w:t>objęcia wsparciem oraz wybranie obszaru interwencji EFS, który będzie poddany ocenie,</w:t>
            </w:r>
          </w:p>
          <w:p w14:paraId="6EAD987A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>b) ETAP II – Wzorzec – zdefiniowanie we wniosku o dofinansowanie lub w regulaminie konkursu standardu wymagań, tj. efektów uczenia się, które osiągną uczestnicy w wyniku przeprowadzonych działań projektowych,</w:t>
            </w:r>
          </w:p>
          <w:p w14:paraId="14BF737D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>c) ETAP III – Ocena – przeprowadzenie weryfikacji na podstawie opracowanych kryteriów oceny po zakończeniu wsparcia udzielanego danej osobie,</w:t>
            </w:r>
          </w:p>
          <w:p w14:paraId="0FBE3CEF" w14:textId="77777777" w:rsidR="00AB176A" w:rsidRPr="009C0FB0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>d) ETAP IV – Porównanie – porównanie uzyskanych wyników etapu III (ocena) z przyjętymi wymaganiami (określonymi na etapie II efektami uczenia się) po zakończeniu wsparcia udzielanego danej osobie.</w:t>
            </w:r>
          </w:p>
          <w:p w14:paraId="636AF2E5" w14:textId="10344AFC" w:rsidR="00AB176A" w:rsidRPr="007D00DC" w:rsidRDefault="00AB176A" w:rsidP="00AB176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C0FB0">
              <w:rPr>
                <w:rFonts w:cs="Arial"/>
                <w:sz w:val="20"/>
                <w:szCs w:val="20"/>
              </w:rPr>
              <w:t xml:space="preserve">Kompetencja to wyodrębniony zestaw efektów uczenia się / kształcenia. Opis kompetencji zawiera jasno określone warunki, które powinien spełniać uczestnik projektu ubiegający się </w:t>
            </w:r>
            <w:r w:rsidRPr="009C0FB0">
              <w:rPr>
                <w:rFonts w:cs="Arial"/>
                <w:sz w:val="20"/>
                <w:szCs w:val="20"/>
              </w:rPr>
              <w:br/>
              <w:t>o nabycie kompetencji, tj. wyczerpującą informację o efektach uczenia się dla danej kompetencji oraz kryteria i metody ich weryfikacji. Wykazywać należy wyłącznie kwalifikacje/kompetencje osiągnięte w wyniku interwencji Europejskiego Funduszu Społecznego.</w:t>
            </w:r>
          </w:p>
        </w:tc>
      </w:tr>
    </w:tbl>
    <w:p w14:paraId="2CB61CC5" w14:textId="1CE3384B" w:rsidR="00102FB7" w:rsidRPr="00326841" w:rsidRDefault="00102FB7">
      <w:pPr>
        <w:tabs>
          <w:tab w:val="left" w:pos="3402"/>
          <w:tab w:val="left" w:pos="5103"/>
        </w:tabs>
        <w:ind w:left="-709"/>
        <w:jc w:val="both"/>
        <w:rPr>
          <w:sz w:val="20"/>
          <w:szCs w:val="20"/>
        </w:rPr>
      </w:pPr>
    </w:p>
    <w:sectPr w:rsidR="00102FB7" w:rsidRPr="00326841" w:rsidSect="002271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6838" w:h="11906" w:orient="landscape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1F16A" w14:textId="77777777" w:rsidR="00FD69C6" w:rsidRDefault="00FD69C6" w:rsidP="00A11280">
      <w:pPr>
        <w:spacing w:after="0" w:line="240" w:lineRule="auto"/>
      </w:pPr>
      <w:r>
        <w:separator/>
      </w:r>
    </w:p>
  </w:endnote>
  <w:endnote w:type="continuationSeparator" w:id="0">
    <w:p w14:paraId="2FB0BA83" w14:textId="77777777" w:rsidR="00FD69C6" w:rsidRDefault="00FD69C6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5838C" w14:textId="77777777" w:rsidR="009B7658" w:rsidRDefault="009B76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79469"/>
      <w:docPartObj>
        <w:docPartGallery w:val="Page Numbers (Bottom of Page)"/>
        <w:docPartUnique/>
      </w:docPartObj>
    </w:sdtPr>
    <w:sdtEndPr/>
    <w:sdtContent>
      <w:p w14:paraId="2376BAA3" w14:textId="77777777" w:rsidR="00FD69C6" w:rsidRDefault="00FD69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2B7A3" w14:textId="77777777" w:rsidR="00FD69C6" w:rsidRDefault="00FD69C6" w:rsidP="00442FE8">
    <w:pPr>
      <w:pStyle w:val="Stopka"/>
      <w:tabs>
        <w:tab w:val="clear" w:pos="4536"/>
        <w:tab w:val="clear" w:pos="9072"/>
        <w:tab w:val="left" w:pos="790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AF44" w14:textId="77777777" w:rsidR="009B7658" w:rsidRDefault="009B7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EA45" w14:textId="77777777" w:rsidR="00FD69C6" w:rsidRDefault="00FD69C6" w:rsidP="00A11280">
      <w:pPr>
        <w:spacing w:after="0" w:line="240" w:lineRule="auto"/>
      </w:pPr>
      <w:r>
        <w:separator/>
      </w:r>
    </w:p>
  </w:footnote>
  <w:footnote w:type="continuationSeparator" w:id="0">
    <w:p w14:paraId="70E686FE" w14:textId="77777777" w:rsidR="00FD69C6" w:rsidRDefault="00FD69C6" w:rsidP="00A1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1CDD" w14:textId="77777777" w:rsidR="009B7658" w:rsidRDefault="009B76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0A8E5" w14:textId="77777777" w:rsidR="00A80B84" w:rsidRPr="009B7658" w:rsidRDefault="00A80B84" w:rsidP="00A80B84">
    <w:pPr>
      <w:pStyle w:val="Nagwek"/>
      <w:jc w:val="right"/>
      <w:rPr>
        <w:rFonts w:eastAsiaTheme="minorEastAsia"/>
        <w:i/>
        <w:iCs/>
        <w:sz w:val="20"/>
        <w:lang w:eastAsia="pl-PL"/>
      </w:rPr>
    </w:pPr>
    <w:r w:rsidRPr="009B7658">
      <w:rPr>
        <w:rFonts w:eastAsiaTheme="minorEastAsia"/>
        <w:i/>
        <w:iCs/>
        <w:sz w:val="20"/>
        <w:lang w:eastAsia="pl-PL"/>
      </w:rPr>
      <w:t xml:space="preserve">Załącznik  nr </w:t>
    </w:r>
    <w:r>
      <w:rPr>
        <w:rFonts w:eastAsiaTheme="minorEastAsia"/>
        <w:i/>
        <w:iCs/>
        <w:sz w:val="20"/>
        <w:lang w:eastAsia="pl-PL"/>
      </w:rPr>
      <w:t xml:space="preserve">12 </w:t>
    </w:r>
    <w:r w:rsidRPr="009B7658">
      <w:rPr>
        <w:rFonts w:eastAsiaTheme="minorEastAsia"/>
        <w:i/>
        <w:iCs/>
        <w:sz w:val="20"/>
        <w:lang w:eastAsia="pl-PL"/>
      </w:rPr>
      <w:t xml:space="preserve"> do Regulaminu konkursu dotyczący projektów złożonych w ramach Osi IX Wysoka jakość edukacji,</w:t>
    </w:r>
  </w:p>
  <w:p w14:paraId="673C17C1" w14:textId="77777777" w:rsidR="00A80B84" w:rsidRPr="009B7658" w:rsidRDefault="00A80B84" w:rsidP="00A80B84">
    <w:pPr>
      <w:pStyle w:val="Nagwek"/>
      <w:jc w:val="right"/>
      <w:rPr>
        <w:rFonts w:ascii="Calibri" w:hAnsi="Calibri"/>
        <w:i/>
        <w:sz w:val="18"/>
      </w:rPr>
    </w:pPr>
    <w:r w:rsidRPr="009B7658">
      <w:rPr>
        <w:rFonts w:eastAsiaTheme="minorEastAsia"/>
        <w:i/>
        <w:iCs/>
        <w:sz w:val="20"/>
        <w:lang w:eastAsia="pl-PL"/>
      </w:rPr>
      <w:t xml:space="preserve"> Działanie 9.1 Rozwój edukacji dla poddziałania 9.1.3 Wsparcie edukacji przedszkolnej w ramach RPO WO 2014-2020, Nabór I wersja 1, </w:t>
    </w:r>
    <w:r>
      <w:rPr>
        <w:rFonts w:eastAsiaTheme="minorEastAsia"/>
        <w:i/>
        <w:iCs/>
        <w:sz w:val="20"/>
        <w:lang w:eastAsia="pl-PL"/>
      </w:rPr>
      <w:t>Czerwiec</w:t>
    </w:r>
    <w:r w:rsidRPr="009B7658">
      <w:rPr>
        <w:rFonts w:eastAsiaTheme="minorEastAsia"/>
        <w:i/>
        <w:iCs/>
        <w:sz w:val="20"/>
        <w:lang w:eastAsia="pl-PL"/>
      </w:rPr>
      <w:t xml:space="preserve"> 2016 r.</w:t>
    </w:r>
  </w:p>
  <w:p w14:paraId="357B97C4" w14:textId="77777777" w:rsidR="00FD69C6" w:rsidRPr="00A80B84" w:rsidRDefault="00FD69C6" w:rsidP="00A80B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84169" w14:textId="2E2EB6A7" w:rsidR="00FD69C6" w:rsidRPr="009B7658" w:rsidRDefault="00FD69C6" w:rsidP="00FD69C6">
    <w:pPr>
      <w:pStyle w:val="Nagwek"/>
      <w:jc w:val="right"/>
      <w:rPr>
        <w:rFonts w:eastAsiaTheme="minorEastAsia"/>
        <w:i/>
        <w:iCs/>
        <w:sz w:val="20"/>
        <w:lang w:eastAsia="pl-PL"/>
      </w:rPr>
    </w:pPr>
    <w:r w:rsidRPr="009B7658">
      <w:rPr>
        <w:rFonts w:eastAsiaTheme="minorEastAsia"/>
        <w:i/>
        <w:iCs/>
        <w:sz w:val="20"/>
        <w:lang w:eastAsia="pl-PL"/>
      </w:rPr>
      <w:t xml:space="preserve">Załącznik  nr </w:t>
    </w:r>
    <w:r w:rsidR="00A80B84">
      <w:rPr>
        <w:rFonts w:eastAsiaTheme="minorEastAsia"/>
        <w:i/>
        <w:iCs/>
        <w:sz w:val="20"/>
        <w:lang w:eastAsia="pl-PL"/>
      </w:rPr>
      <w:t xml:space="preserve">12 </w:t>
    </w:r>
    <w:r w:rsidRPr="009B7658">
      <w:rPr>
        <w:rFonts w:eastAsiaTheme="minorEastAsia"/>
        <w:i/>
        <w:iCs/>
        <w:sz w:val="20"/>
        <w:lang w:eastAsia="pl-PL"/>
      </w:rPr>
      <w:t xml:space="preserve"> do Regulaminu konkursu dotyczący projektów złożonych w ramach Osi IX Wysoka jakość edukacji,</w:t>
    </w:r>
  </w:p>
  <w:p w14:paraId="0288950D" w14:textId="1D423487" w:rsidR="00FD69C6" w:rsidRPr="009B7658" w:rsidRDefault="00FD69C6" w:rsidP="00FD69C6">
    <w:pPr>
      <w:pStyle w:val="Nagwek"/>
      <w:jc w:val="right"/>
      <w:rPr>
        <w:rFonts w:ascii="Calibri" w:hAnsi="Calibri"/>
        <w:i/>
        <w:sz w:val="18"/>
      </w:rPr>
    </w:pPr>
    <w:r w:rsidRPr="009B7658">
      <w:rPr>
        <w:rFonts w:eastAsiaTheme="minorEastAsia"/>
        <w:i/>
        <w:iCs/>
        <w:sz w:val="20"/>
        <w:lang w:eastAsia="pl-PL"/>
      </w:rPr>
      <w:t xml:space="preserve"> Działanie 9.1 Rozwój edukacji dla poddziałania 9.1.</w:t>
    </w:r>
    <w:r w:rsidR="00AB176A" w:rsidRPr="009B7658">
      <w:rPr>
        <w:rFonts w:eastAsiaTheme="minorEastAsia"/>
        <w:i/>
        <w:iCs/>
        <w:sz w:val="20"/>
        <w:lang w:eastAsia="pl-PL"/>
      </w:rPr>
      <w:t>3</w:t>
    </w:r>
    <w:r w:rsidRPr="009B7658">
      <w:rPr>
        <w:rFonts w:eastAsiaTheme="minorEastAsia"/>
        <w:i/>
        <w:iCs/>
        <w:sz w:val="20"/>
        <w:lang w:eastAsia="pl-PL"/>
      </w:rPr>
      <w:t xml:space="preserve"> </w:t>
    </w:r>
    <w:r w:rsidR="00AB176A" w:rsidRPr="009B7658">
      <w:rPr>
        <w:rFonts w:eastAsiaTheme="minorEastAsia"/>
        <w:i/>
        <w:iCs/>
        <w:sz w:val="20"/>
        <w:lang w:eastAsia="pl-PL"/>
      </w:rPr>
      <w:t xml:space="preserve">Wsparcie edukacji przedszkolnej </w:t>
    </w:r>
    <w:r w:rsidRPr="009B7658">
      <w:rPr>
        <w:rFonts w:eastAsiaTheme="minorEastAsia"/>
        <w:i/>
        <w:iCs/>
        <w:sz w:val="20"/>
        <w:lang w:eastAsia="pl-PL"/>
      </w:rPr>
      <w:t>w ramach RPO WO 2014-2020</w:t>
    </w:r>
    <w:r w:rsidR="001C04EB" w:rsidRPr="009B7658">
      <w:rPr>
        <w:rFonts w:eastAsiaTheme="minorEastAsia"/>
        <w:i/>
        <w:iCs/>
        <w:sz w:val="20"/>
        <w:lang w:eastAsia="pl-PL"/>
      </w:rPr>
      <w:t xml:space="preserve">, Nabór I wersja 1, </w:t>
    </w:r>
    <w:r w:rsidR="00A80B84">
      <w:rPr>
        <w:rFonts w:eastAsiaTheme="minorEastAsia"/>
        <w:i/>
        <w:iCs/>
        <w:sz w:val="20"/>
        <w:lang w:eastAsia="pl-PL"/>
      </w:rPr>
      <w:t>Czerwiec</w:t>
    </w:r>
    <w:r w:rsidR="001C04EB" w:rsidRPr="009B7658">
      <w:rPr>
        <w:rFonts w:eastAsiaTheme="minorEastAsia"/>
        <w:i/>
        <w:iCs/>
        <w:sz w:val="20"/>
        <w:lang w:eastAsia="pl-PL"/>
      </w:rPr>
      <w:t xml:space="preserve"> 2016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3302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4C6A"/>
    <w:multiLevelType w:val="hybridMultilevel"/>
    <w:tmpl w:val="928EE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B0EF1"/>
    <w:multiLevelType w:val="hybridMultilevel"/>
    <w:tmpl w:val="A9CC62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35993"/>
    <w:multiLevelType w:val="hybridMultilevel"/>
    <w:tmpl w:val="D7461E56"/>
    <w:lvl w:ilvl="0" w:tplc="2438C0F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231"/>
    <w:multiLevelType w:val="hybridMultilevel"/>
    <w:tmpl w:val="18B42E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523AC"/>
    <w:multiLevelType w:val="hybridMultilevel"/>
    <w:tmpl w:val="7F706C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B67DA1"/>
    <w:multiLevelType w:val="hybridMultilevel"/>
    <w:tmpl w:val="5A723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0CA9"/>
    <w:multiLevelType w:val="hybridMultilevel"/>
    <w:tmpl w:val="8C181D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2B527F"/>
    <w:multiLevelType w:val="hybridMultilevel"/>
    <w:tmpl w:val="466AD6A2"/>
    <w:lvl w:ilvl="0" w:tplc="872C1E6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E45FF6"/>
    <w:multiLevelType w:val="hybridMultilevel"/>
    <w:tmpl w:val="B72A5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5254F"/>
    <w:multiLevelType w:val="hybridMultilevel"/>
    <w:tmpl w:val="23302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B922CB1"/>
    <w:multiLevelType w:val="hybridMultilevel"/>
    <w:tmpl w:val="99E0D076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7A7F"/>
    <w:multiLevelType w:val="hybridMultilevel"/>
    <w:tmpl w:val="928EE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737B1"/>
    <w:multiLevelType w:val="hybridMultilevel"/>
    <w:tmpl w:val="9B64D4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F61F8"/>
    <w:multiLevelType w:val="hybridMultilevel"/>
    <w:tmpl w:val="173EF13C"/>
    <w:lvl w:ilvl="0" w:tplc="0EEA70A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B62EE"/>
    <w:multiLevelType w:val="hybridMultilevel"/>
    <w:tmpl w:val="87A422B6"/>
    <w:lvl w:ilvl="0" w:tplc="C16E4BD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B226AB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A6EA8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0471"/>
    <w:multiLevelType w:val="hybridMultilevel"/>
    <w:tmpl w:val="65504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276B66"/>
    <w:multiLevelType w:val="hybridMultilevel"/>
    <w:tmpl w:val="F07A1E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AF7F8D"/>
    <w:multiLevelType w:val="hybridMultilevel"/>
    <w:tmpl w:val="B73AA6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E0AC7"/>
    <w:multiLevelType w:val="hybridMultilevel"/>
    <w:tmpl w:val="72B27C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951A09"/>
    <w:multiLevelType w:val="hybridMultilevel"/>
    <w:tmpl w:val="E00020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672D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D573EF8"/>
    <w:multiLevelType w:val="hybridMultilevel"/>
    <w:tmpl w:val="DE90F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72905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43060"/>
    <w:multiLevelType w:val="hybridMultilevel"/>
    <w:tmpl w:val="54B64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23C55"/>
    <w:multiLevelType w:val="hybridMultilevel"/>
    <w:tmpl w:val="B72A5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AC12B6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4895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63A"/>
    <w:multiLevelType w:val="hybridMultilevel"/>
    <w:tmpl w:val="B75CD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45F70"/>
    <w:multiLevelType w:val="hybridMultilevel"/>
    <w:tmpl w:val="54B64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D46282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790"/>
    <w:multiLevelType w:val="hybridMultilevel"/>
    <w:tmpl w:val="FA7C2F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F36DB4"/>
    <w:multiLevelType w:val="hybridMultilevel"/>
    <w:tmpl w:val="FA7870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4252DA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B6B5E"/>
    <w:multiLevelType w:val="hybridMultilevel"/>
    <w:tmpl w:val="87B8076C"/>
    <w:lvl w:ilvl="0" w:tplc="2DC08692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B7E78"/>
    <w:multiLevelType w:val="hybridMultilevel"/>
    <w:tmpl w:val="E20EC6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6"/>
  </w:num>
  <w:num w:numId="3">
    <w:abstractNumId w:val="19"/>
  </w:num>
  <w:num w:numId="4">
    <w:abstractNumId w:val="33"/>
  </w:num>
  <w:num w:numId="5">
    <w:abstractNumId w:val="16"/>
  </w:num>
  <w:num w:numId="6">
    <w:abstractNumId w:val="32"/>
  </w:num>
  <w:num w:numId="7">
    <w:abstractNumId w:val="23"/>
  </w:num>
  <w:num w:numId="8">
    <w:abstractNumId w:val="28"/>
  </w:num>
  <w:num w:numId="9">
    <w:abstractNumId w:val="17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34"/>
  </w:num>
  <w:num w:numId="16">
    <w:abstractNumId w:val="29"/>
  </w:num>
  <w:num w:numId="17">
    <w:abstractNumId w:val="2"/>
  </w:num>
  <w:num w:numId="18">
    <w:abstractNumId w:val="7"/>
  </w:num>
  <w:num w:numId="19">
    <w:abstractNumId w:val="30"/>
  </w:num>
  <w:num w:numId="20">
    <w:abstractNumId w:val="13"/>
  </w:num>
  <w:num w:numId="21">
    <w:abstractNumId w:val="24"/>
  </w:num>
  <w:num w:numId="22">
    <w:abstractNumId w:val="20"/>
  </w:num>
  <w:num w:numId="23">
    <w:abstractNumId w:val="37"/>
  </w:num>
  <w:num w:numId="24">
    <w:abstractNumId w:val="4"/>
  </w:num>
  <w:num w:numId="25">
    <w:abstractNumId w:val="21"/>
  </w:num>
  <w:num w:numId="26">
    <w:abstractNumId w:val="18"/>
  </w:num>
  <w:num w:numId="27">
    <w:abstractNumId w:val="31"/>
  </w:num>
  <w:num w:numId="28">
    <w:abstractNumId w:val="27"/>
  </w:num>
  <w:num w:numId="29">
    <w:abstractNumId w:val="9"/>
  </w:num>
  <w:num w:numId="30">
    <w:abstractNumId w:val="1"/>
  </w:num>
  <w:num w:numId="31">
    <w:abstractNumId w:val="26"/>
  </w:num>
  <w:num w:numId="32">
    <w:abstractNumId w:val="12"/>
  </w:num>
  <w:num w:numId="33">
    <w:abstractNumId w:val="25"/>
  </w:num>
  <w:num w:numId="34">
    <w:abstractNumId w:val="35"/>
  </w:num>
  <w:num w:numId="35">
    <w:abstractNumId w:val="6"/>
  </w:num>
  <w:num w:numId="36">
    <w:abstractNumId w:val="5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03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21"/>
    <w:rsid w:val="00001E12"/>
    <w:rsid w:val="00002D26"/>
    <w:rsid w:val="00006A99"/>
    <w:rsid w:val="0001004E"/>
    <w:rsid w:val="00010EEF"/>
    <w:rsid w:val="00015EC6"/>
    <w:rsid w:val="00022220"/>
    <w:rsid w:val="0002356F"/>
    <w:rsid w:val="000252B8"/>
    <w:rsid w:val="000305AA"/>
    <w:rsid w:val="000327B4"/>
    <w:rsid w:val="00035C17"/>
    <w:rsid w:val="00036830"/>
    <w:rsid w:val="00040DFE"/>
    <w:rsid w:val="000419E2"/>
    <w:rsid w:val="00042F3A"/>
    <w:rsid w:val="00055EE7"/>
    <w:rsid w:val="00056886"/>
    <w:rsid w:val="00061708"/>
    <w:rsid w:val="000637DD"/>
    <w:rsid w:val="0006395F"/>
    <w:rsid w:val="00067170"/>
    <w:rsid w:val="00072063"/>
    <w:rsid w:val="000735AC"/>
    <w:rsid w:val="000751CE"/>
    <w:rsid w:val="000757A9"/>
    <w:rsid w:val="00083607"/>
    <w:rsid w:val="00083D75"/>
    <w:rsid w:val="00084190"/>
    <w:rsid w:val="000871B9"/>
    <w:rsid w:val="00091AF0"/>
    <w:rsid w:val="0009398B"/>
    <w:rsid w:val="00095B63"/>
    <w:rsid w:val="000A0237"/>
    <w:rsid w:val="000A529C"/>
    <w:rsid w:val="000A6A14"/>
    <w:rsid w:val="000B31A9"/>
    <w:rsid w:val="000B5FE8"/>
    <w:rsid w:val="000B61B6"/>
    <w:rsid w:val="000C3414"/>
    <w:rsid w:val="000C6AA3"/>
    <w:rsid w:val="000E1172"/>
    <w:rsid w:val="000E1828"/>
    <w:rsid w:val="000E436C"/>
    <w:rsid w:val="000E5525"/>
    <w:rsid w:val="000E7FBF"/>
    <w:rsid w:val="000F36FA"/>
    <w:rsid w:val="000F5C3F"/>
    <w:rsid w:val="001028AA"/>
    <w:rsid w:val="00102FB7"/>
    <w:rsid w:val="00110626"/>
    <w:rsid w:val="001133C2"/>
    <w:rsid w:val="00115072"/>
    <w:rsid w:val="0011616D"/>
    <w:rsid w:val="00125111"/>
    <w:rsid w:val="00131B88"/>
    <w:rsid w:val="00136D60"/>
    <w:rsid w:val="0014329F"/>
    <w:rsid w:val="001460B1"/>
    <w:rsid w:val="00152EEA"/>
    <w:rsid w:val="00160878"/>
    <w:rsid w:val="00163090"/>
    <w:rsid w:val="00163314"/>
    <w:rsid w:val="0016581B"/>
    <w:rsid w:val="00176A29"/>
    <w:rsid w:val="00177222"/>
    <w:rsid w:val="00180987"/>
    <w:rsid w:val="00180A81"/>
    <w:rsid w:val="001811AE"/>
    <w:rsid w:val="00186FCC"/>
    <w:rsid w:val="001901EB"/>
    <w:rsid w:val="00191A19"/>
    <w:rsid w:val="001930AE"/>
    <w:rsid w:val="00196A28"/>
    <w:rsid w:val="00196F2C"/>
    <w:rsid w:val="001A32D2"/>
    <w:rsid w:val="001A3780"/>
    <w:rsid w:val="001A72B1"/>
    <w:rsid w:val="001B2650"/>
    <w:rsid w:val="001B2C86"/>
    <w:rsid w:val="001C04EB"/>
    <w:rsid w:val="001C196A"/>
    <w:rsid w:val="001C4092"/>
    <w:rsid w:val="001C55A8"/>
    <w:rsid w:val="001C5E23"/>
    <w:rsid w:val="001D103E"/>
    <w:rsid w:val="001D2DFD"/>
    <w:rsid w:val="001D330B"/>
    <w:rsid w:val="001D353F"/>
    <w:rsid w:val="001D3621"/>
    <w:rsid w:val="001D7CC3"/>
    <w:rsid w:val="001E01C8"/>
    <w:rsid w:val="001E3836"/>
    <w:rsid w:val="001F1D54"/>
    <w:rsid w:val="00210D3C"/>
    <w:rsid w:val="00220524"/>
    <w:rsid w:val="002218B6"/>
    <w:rsid w:val="002233DD"/>
    <w:rsid w:val="002240BB"/>
    <w:rsid w:val="002244FF"/>
    <w:rsid w:val="00226060"/>
    <w:rsid w:val="002271F7"/>
    <w:rsid w:val="00233FAE"/>
    <w:rsid w:val="0023430F"/>
    <w:rsid w:val="0025473F"/>
    <w:rsid w:val="00254FF1"/>
    <w:rsid w:val="0025646D"/>
    <w:rsid w:val="00256682"/>
    <w:rsid w:val="00261722"/>
    <w:rsid w:val="00264831"/>
    <w:rsid w:val="002672D2"/>
    <w:rsid w:val="002821A1"/>
    <w:rsid w:val="00283239"/>
    <w:rsid w:val="00292CCE"/>
    <w:rsid w:val="002948C3"/>
    <w:rsid w:val="002979FE"/>
    <w:rsid w:val="002A099C"/>
    <w:rsid w:val="002A3184"/>
    <w:rsid w:val="002A3A9C"/>
    <w:rsid w:val="002A3FC9"/>
    <w:rsid w:val="002A4384"/>
    <w:rsid w:val="002B08C1"/>
    <w:rsid w:val="002B17E2"/>
    <w:rsid w:val="002B294F"/>
    <w:rsid w:val="002B4B5A"/>
    <w:rsid w:val="002B5BE2"/>
    <w:rsid w:val="002B5D3A"/>
    <w:rsid w:val="002C1ECA"/>
    <w:rsid w:val="002C63EB"/>
    <w:rsid w:val="002C69A3"/>
    <w:rsid w:val="002C78D8"/>
    <w:rsid w:val="002D1FFD"/>
    <w:rsid w:val="002D4B7F"/>
    <w:rsid w:val="002D6BC5"/>
    <w:rsid w:val="002E5267"/>
    <w:rsid w:val="00306C54"/>
    <w:rsid w:val="00314703"/>
    <w:rsid w:val="00316A82"/>
    <w:rsid w:val="003178FB"/>
    <w:rsid w:val="00317964"/>
    <w:rsid w:val="0032277D"/>
    <w:rsid w:val="00326841"/>
    <w:rsid w:val="00327856"/>
    <w:rsid w:val="003350A1"/>
    <w:rsid w:val="0033677D"/>
    <w:rsid w:val="00340398"/>
    <w:rsid w:val="00343FA6"/>
    <w:rsid w:val="0034744E"/>
    <w:rsid w:val="00352B56"/>
    <w:rsid w:val="00356D8C"/>
    <w:rsid w:val="003660CD"/>
    <w:rsid w:val="0036612F"/>
    <w:rsid w:val="00370627"/>
    <w:rsid w:val="00372AC0"/>
    <w:rsid w:val="003744E5"/>
    <w:rsid w:val="0037457E"/>
    <w:rsid w:val="00375E59"/>
    <w:rsid w:val="00382AEC"/>
    <w:rsid w:val="003841BA"/>
    <w:rsid w:val="00393132"/>
    <w:rsid w:val="003976DA"/>
    <w:rsid w:val="003A545F"/>
    <w:rsid w:val="003A56B7"/>
    <w:rsid w:val="003A5E23"/>
    <w:rsid w:val="003A69AB"/>
    <w:rsid w:val="003B26CD"/>
    <w:rsid w:val="003B2744"/>
    <w:rsid w:val="003B4296"/>
    <w:rsid w:val="003B7E2A"/>
    <w:rsid w:val="003C02CA"/>
    <w:rsid w:val="003C27B4"/>
    <w:rsid w:val="003C4BBB"/>
    <w:rsid w:val="003C6E68"/>
    <w:rsid w:val="003D02A0"/>
    <w:rsid w:val="003D06D9"/>
    <w:rsid w:val="003D14F8"/>
    <w:rsid w:val="003D1E49"/>
    <w:rsid w:val="003D4DB5"/>
    <w:rsid w:val="003E0589"/>
    <w:rsid w:val="003E274D"/>
    <w:rsid w:val="003E2E4B"/>
    <w:rsid w:val="003E5A0C"/>
    <w:rsid w:val="004100BB"/>
    <w:rsid w:val="00411A37"/>
    <w:rsid w:val="00413B51"/>
    <w:rsid w:val="0042514A"/>
    <w:rsid w:val="00425283"/>
    <w:rsid w:val="004253A5"/>
    <w:rsid w:val="00427357"/>
    <w:rsid w:val="00430732"/>
    <w:rsid w:val="00434BAA"/>
    <w:rsid w:val="00442FE8"/>
    <w:rsid w:val="00443BDF"/>
    <w:rsid w:val="00444D52"/>
    <w:rsid w:val="004528CF"/>
    <w:rsid w:val="00453084"/>
    <w:rsid w:val="00453F91"/>
    <w:rsid w:val="00454139"/>
    <w:rsid w:val="004569A1"/>
    <w:rsid w:val="0046280F"/>
    <w:rsid w:val="0046432F"/>
    <w:rsid w:val="00465F90"/>
    <w:rsid w:val="0046649E"/>
    <w:rsid w:val="00466966"/>
    <w:rsid w:val="004672CD"/>
    <w:rsid w:val="00470F68"/>
    <w:rsid w:val="00482FB2"/>
    <w:rsid w:val="00483F5C"/>
    <w:rsid w:val="0048600E"/>
    <w:rsid w:val="00490085"/>
    <w:rsid w:val="004910A7"/>
    <w:rsid w:val="00495097"/>
    <w:rsid w:val="004A4C98"/>
    <w:rsid w:val="004A6BDC"/>
    <w:rsid w:val="004A6D13"/>
    <w:rsid w:val="004B69CE"/>
    <w:rsid w:val="004C2768"/>
    <w:rsid w:val="004C3420"/>
    <w:rsid w:val="004C540F"/>
    <w:rsid w:val="004C666D"/>
    <w:rsid w:val="004D39D2"/>
    <w:rsid w:val="004E17B4"/>
    <w:rsid w:val="004E3ACC"/>
    <w:rsid w:val="004E7A11"/>
    <w:rsid w:val="004F3C77"/>
    <w:rsid w:val="004F6BEF"/>
    <w:rsid w:val="00501A93"/>
    <w:rsid w:val="00501C83"/>
    <w:rsid w:val="005077F3"/>
    <w:rsid w:val="005102CC"/>
    <w:rsid w:val="005129C5"/>
    <w:rsid w:val="005156EF"/>
    <w:rsid w:val="0052639C"/>
    <w:rsid w:val="00537297"/>
    <w:rsid w:val="005402FE"/>
    <w:rsid w:val="00543A97"/>
    <w:rsid w:val="0056602B"/>
    <w:rsid w:val="00567072"/>
    <w:rsid w:val="00570604"/>
    <w:rsid w:val="00573A93"/>
    <w:rsid w:val="00575F75"/>
    <w:rsid w:val="0058726C"/>
    <w:rsid w:val="00587F10"/>
    <w:rsid w:val="00596A58"/>
    <w:rsid w:val="00596D42"/>
    <w:rsid w:val="005A14AC"/>
    <w:rsid w:val="005A4085"/>
    <w:rsid w:val="005A7CB1"/>
    <w:rsid w:val="005B2FEA"/>
    <w:rsid w:val="005B504A"/>
    <w:rsid w:val="005C01D2"/>
    <w:rsid w:val="005D5F43"/>
    <w:rsid w:val="005E4353"/>
    <w:rsid w:val="005E54E5"/>
    <w:rsid w:val="005F1689"/>
    <w:rsid w:val="005F38DE"/>
    <w:rsid w:val="005F7A29"/>
    <w:rsid w:val="005F7C33"/>
    <w:rsid w:val="00601B5A"/>
    <w:rsid w:val="006041FA"/>
    <w:rsid w:val="006053E7"/>
    <w:rsid w:val="006074ED"/>
    <w:rsid w:val="00610768"/>
    <w:rsid w:val="00613B97"/>
    <w:rsid w:val="00615A30"/>
    <w:rsid w:val="00622249"/>
    <w:rsid w:val="00624C31"/>
    <w:rsid w:val="00624D16"/>
    <w:rsid w:val="006276A3"/>
    <w:rsid w:val="006322FA"/>
    <w:rsid w:val="00634313"/>
    <w:rsid w:val="00637635"/>
    <w:rsid w:val="006430D2"/>
    <w:rsid w:val="00654389"/>
    <w:rsid w:val="006545EC"/>
    <w:rsid w:val="0065570B"/>
    <w:rsid w:val="0065665B"/>
    <w:rsid w:val="006613F3"/>
    <w:rsid w:val="00663223"/>
    <w:rsid w:val="006640B4"/>
    <w:rsid w:val="00666DC8"/>
    <w:rsid w:val="006674CF"/>
    <w:rsid w:val="00672CF7"/>
    <w:rsid w:val="00680775"/>
    <w:rsid w:val="0068478B"/>
    <w:rsid w:val="006A2401"/>
    <w:rsid w:val="006A43A9"/>
    <w:rsid w:val="006A460D"/>
    <w:rsid w:val="006A579D"/>
    <w:rsid w:val="006B6022"/>
    <w:rsid w:val="006B7DBF"/>
    <w:rsid w:val="006C77D9"/>
    <w:rsid w:val="006D2E34"/>
    <w:rsid w:val="006D356F"/>
    <w:rsid w:val="006D63E7"/>
    <w:rsid w:val="006E194D"/>
    <w:rsid w:val="006E2806"/>
    <w:rsid w:val="006E54A6"/>
    <w:rsid w:val="006E5DC7"/>
    <w:rsid w:val="006F18CC"/>
    <w:rsid w:val="006F1C8E"/>
    <w:rsid w:val="006F5F19"/>
    <w:rsid w:val="006F6464"/>
    <w:rsid w:val="006F6CF9"/>
    <w:rsid w:val="006F70FD"/>
    <w:rsid w:val="0070236E"/>
    <w:rsid w:val="00716992"/>
    <w:rsid w:val="007201CA"/>
    <w:rsid w:val="00720906"/>
    <w:rsid w:val="00720BEC"/>
    <w:rsid w:val="00723F91"/>
    <w:rsid w:val="007335DB"/>
    <w:rsid w:val="00735EAE"/>
    <w:rsid w:val="0074049A"/>
    <w:rsid w:val="00740C1F"/>
    <w:rsid w:val="00742D49"/>
    <w:rsid w:val="00757A2D"/>
    <w:rsid w:val="00760B0C"/>
    <w:rsid w:val="00761D7C"/>
    <w:rsid w:val="00762BB5"/>
    <w:rsid w:val="00774FA1"/>
    <w:rsid w:val="007754AA"/>
    <w:rsid w:val="00775B56"/>
    <w:rsid w:val="00780302"/>
    <w:rsid w:val="007815E2"/>
    <w:rsid w:val="007832FF"/>
    <w:rsid w:val="00783A8E"/>
    <w:rsid w:val="00790A97"/>
    <w:rsid w:val="0079394C"/>
    <w:rsid w:val="007A27F7"/>
    <w:rsid w:val="007A69E4"/>
    <w:rsid w:val="007B0796"/>
    <w:rsid w:val="007B3E77"/>
    <w:rsid w:val="007C41F6"/>
    <w:rsid w:val="007D00DC"/>
    <w:rsid w:val="007D3E62"/>
    <w:rsid w:val="007D46E8"/>
    <w:rsid w:val="007D4C96"/>
    <w:rsid w:val="007D7F49"/>
    <w:rsid w:val="007E034D"/>
    <w:rsid w:val="007E1DB5"/>
    <w:rsid w:val="007F0A9C"/>
    <w:rsid w:val="007F6DFA"/>
    <w:rsid w:val="008001AD"/>
    <w:rsid w:val="0080142A"/>
    <w:rsid w:val="00803AA7"/>
    <w:rsid w:val="00806531"/>
    <w:rsid w:val="00811CFE"/>
    <w:rsid w:val="00813ACE"/>
    <w:rsid w:val="008172D4"/>
    <w:rsid w:val="00820327"/>
    <w:rsid w:val="008277E7"/>
    <w:rsid w:val="00831DA4"/>
    <w:rsid w:val="00833C84"/>
    <w:rsid w:val="0083699C"/>
    <w:rsid w:val="00840F98"/>
    <w:rsid w:val="008417F9"/>
    <w:rsid w:val="008428E9"/>
    <w:rsid w:val="00861566"/>
    <w:rsid w:val="00861990"/>
    <w:rsid w:val="00862EA9"/>
    <w:rsid w:val="00864E42"/>
    <w:rsid w:val="00870F1E"/>
    <w:rsid w:val="008733AB"/>
    <w:rsid w:val="00874EED"/>
    <w:rsid w:val="00881689"/>
    <w:rsid w:val="008823AA"/>
    <w:rsid w:val="00883127"/>
    <w:rsid w:val="00886B5E"/>
    <w:rsid w:val="0089055E"/>
    <w:rsid w:val="008974BB"/>
    <w:rsid w:val="008A02D7"/>
    <w:rsid w:val="008A3625"/>
    <w:rsid w:val="008C315C"/>
    <w:rsid w:val="008C4EE2"/>
    <w:rsid w:val="008C5724"/>
    <w:rsid w:val="008C59D7"/>
    <w:rsid w:val="008C63FE"/>
    <w:rsid w:val="008C6877"/>
    <w:rsid w:val="008C77BE"/>
    <w:rsid w:val="008D3403"/>
    <w:rsid w:val="008D3E47"/>
    <w:rsid w:val="008E1221"/>
    <w:rsid w:val="008E6BDD"/>
    <w:rsid w:val="008E70A7"/>
    <w:rsid w:val="008E76A3"/>
    <w:rsid w:val="008E7FF7"/>
    <w:rsid w:val="008F044A"/>
    <w:rsid w:val="008F0F56"/>
    <w:rsid w:val="008F18BC"/>
    <w:rsid w:val="008F2FEE"/>
    <w:rsid w:val="008F3B44"/>
    <w:rsid w:val="008F7815"/>
    <w:rsid w:val="00902971"/>
    <w:rsid w:val="009036F8"/>
    <w:rsid w:val="00905AC7"/>
    <w:rsid w:val="009119D4"/>
    <w:rsid w:val="00913370"/>
    <w:rsid w:val="00913791"/>
    <w:rsid w:val="00916534"/>
    <w:rsid w:val="0091660E"/>
    <w:rsid w:val="00917D52"/>
    <w:rsid w:val="00921408"/>
    <w:rsid w:val="00923DC2"/>
    <w:rsid w:val="0092434A"/>
    <w:rsid w:val="009246BE"/>
    <w:rsid w:val="00930C72"/>
    <w:rsid w:val="00944557"/>
    <w:rsid w:val="009458D9"/>
    <w:rsid w:val="0094668B"/>
    <w:rsid w:val="00953A2D"/>
    <w:rsid w:val="00957E5D"/>
    <w:rsid w:val="0096700F"/>
    <w:rsid w:val="00970072"/>
    <w:rsid w:val="00974060"/>
    <w:rsid w:val="00975F71"/>
    <w:rsid w:val="00991562"/>
    <w:rsid w:val="00992F45"/>
    <w:rsid w:val="00993E65"/>
    <w:rsid w:val="0099519F"/>
    <w:rsid w:val="00997070"/>
    <w:rsid w:val="009A1C80"/>
    <w:rsid w:val="009B1AF2"/>
    <w:rsid w:val="009B1C1D"/>
    <w:rsid w:val="009B5198"/>
    <w:rsid w:val="009B6505"/>
    <w:rsid w:val="009B7658"/>
    <w:rsid w:val="009C4F1B"/>
    <w:rsid w:val="009C6492"/>
    <w:rsid w:val="009D29FB"/>
    <w:rsid w:val="009D760C"/>
    <w:rsid w:val="009E1752"/>
    <w:rsid w:val="009E3594"/>
    <w:rsid w:val="009E3C4A"/>
    <w:rsid w:val="009F297D"/>
    <w:rsid w:val="009F441F"/>
    <w:rsid w:val="00A0678F"/>
    <w:rsid w:val="00A11280"/>
    <w:rsid w:val="00A12330"/>
    <w:rsid w:val="00A12854"/>
    <w:rsid w:val="00A13FD0"/>
    <w:rsid w:val="00A229B6"/>
    <w:rsid w:val="00A23168"/>
    <w:rsid w:val="00A23361"/>
    <w:rsid w:val="00A26F6A"/>
    <w:rsid w:val="00A37E09"/>
    <w:rsid w:val="00A406FE"/>
    <w:rsid w:val="00A4517A"/>
    <w:rsid w:val="00A55E0F"/>
    <w:rsid w:val="00A56DCC"/>
    <w:rsid w:val="00A64913"/>
    <w:rsid w:val="00A75D3B"/>
    <w:rsid w:val="00A76BDD"/>
    <w:rsid w:val="00A80B84"/>
    <w:rsid w:val="00A83DBA"/>
    <w:rsid w:val="00A85AB9"/>
    <w:rsid w:val="00A86243"/>
    <w:rsid w:val="00A91CD6"/>
    <w:rsid w:val="00A93672"/>
    <w:rsid w:val="00A96B60"/>
    <w:rsid w:val="00A9780F"/>
    <w:rsid w:val="00AA43DC"/>
    <w:rsid w:val="00AB176A"/>
    <w:rsid w:val="00AC12E7"/>
    <w:rsid w:val="00AC22E3"/>
    <w:rsid w:val="00AC4C19"/>
    <w:rsid w:val="00AD244B"/>
    <w:rsid w:val="00AD497B"/>
    <w:rsid w:val="00AD69B8"/>
    <w:rsid w:val="00AD6A25"/>
    <w:rsid w:val="00AD7C6B"/>
    <w:rsid w:val="00AE1F0B"/>
    <w:rsid w:val="00AF2D17"/>
    <w:rsid w:val="00AF42AA"/>
    <w:rsid w:val="00B118EC"/>
    <w:rsid w:val="00B12AE2"/>
    <w:rsid w:val="00B25DDC"/>
    <w:rsid w:val="00B26A50"/>
    <w:rsid w:val="00B33396"/>
    <w:rsid w:val="00B4195E"/>
    <w:rsid w:val="00B43839"/>
    <w:rsid w:val="00B4493F"/>
    <w:rsid w:val="00B503CF"/>
    <w:rsid w:val="00B53551"/>
    <w:rsid w:val="00B60267"/>
    <w:rsid w:val="00B64A26"/>
    <w:rsid w:val="00B6688C"/>
    <w:rsid w:val="00B6775E"/>
    <w:rsid w:val="00B71412"/>
    <w:rsid w:val="00B73E4B"/>
    <w:rsid w:val="00B7446F"/>
    <w:rsid w:val="00B91714"/>
    <w:rsid w:val="00B921A1"/>
    <w:rsid w:val="00B974D2"/>
    <w:rsid w:val="00B97C67"/>
    <w:rsid w:val="00BA534A"/>
    <w:rsid w:val="00BA60AC"/>
    <w:rsid w:val="00BA6726"/>
    <w:rsid w:val="00BB0333"/>
    <w:rsid w:val="00BB0608"/>
    <w:rsid w:val="00BC1E69"/>
    <w:rsid w:val="00BC7065"/>
    <w:rsid w:val="00BC7E9A"/>
    <w:rsid w:val="00BD1880"/>
    <w:rsid w:val="00BD1A41"/>
    <w:rsid w:val="00BD38E2"/>
    <w:rsid w:val="00BD54E4"/>
    <w:rsid w:val="00BD5C87"/>
    <w:rsid w:val="00BD6CBC"/>
    <w:rsid w:val="00BD721D"/>
    <w:rsid w:val="00BE377C"/>
    <w:rsid w:val="00BE3D3B"/>
    <w:rsid w:val="00BE71DE"/>
    <w:rsid w:val="00BF36C7"/>
    <w:rsid w:val="00BF6876"/>
    <w:rsid w:val="00C16418"/>
    <w:rsid w:val="00C17C93"/>
    <w:rsid w:val="00C25BD5"/>
    <w:rsid w:val="00C3471A"/>
    <w:rsid w:val="00C36E39"/>
    <w:rsid w:val="00C374C2"/>
    <w:rsid w:val="00C37A8F"/>
    <w:rsid w:val="00C37E25"/>
    <w:rsid w:val="00C43ACD"/>
    <w:rsid w:val="00C44C0C"/>
    <w:rsid w:val="00C5569D"/>
    <w:rsid w:val="00C55929"/>
    <w:rsid w:val="00C56394"/>
    <w:rsid w:val="00C56BC1"/>
    <w:rsid w:val="00C762FB"/>
    <w:rsid w:val="00C845B1"/>
    <w:rsid w:val="00C93A1D"/>
    <w:rsid w:val="00C9500E"/>
    <w:rsid w:val="00C953C5"/>
    <w:rsid w:val="00C95762"/>
    <w:rsid w:val="00CA1A8B"/>
    <w:rsid w:val="00CA4446"/>
    <w:rsid w:val="00CB2D0B"/>
    <w:rsid w:val="00CB7564"/>
    <w:rsid w:val="00CC7854"/>
    <w:rsid w:val="00CD1A35"/>
    <w:rsid w:val="00CD70FA"/>
    <w:rsid w:val="00CE040A"/>
    <w:rsid w:val="00CF0720"/>
    <w:rsid w:val="00CF1602"/>
    <w:rsid w:val="00CF558C"/>
    <w:rsid w:val="00D01141"/>
    <w:rsid w:val="00D028C2"/>
    <w:rsid w:val="00D02C92"/>
    <w:rsid w:val="00D03DF0"/>
    <w:rsid w:val="00D07438"/>
    <w:rsid w:val="00D11990"/>
    <w:rsid w:val="00D12DE8"/>
    <w:rsid w:val="00D43689"/>
    <w:rsid w:val="00D509E2"/>
    <w:rsid w:val="00D5721C"/>
    <w:rsid w:val="00D67B61"/>
    <w:rsid w:val="00D708B3"/>
    <w:rsid w:val="00D73DC2"/>
    <w:rsid w:val="00D80AAE"/>
    <w:rsid w:val="00D822A7"/>
    <w:rsid w:val="00D8458B"/>
    <w:rsid w:val="00D957C4"/>
    <w:rsid w:val="00D95C70"/>
    <w:rsid w:val="00DA016A"/>
    <w:rsid w:val="00DA1AA6"/>
    <w:rsid w:val="00DA3986"/>
    <w:rsid w:val="00DA4D8E"/>
    <w:rsid w:val="00DC1F31"/>
    <w:rsid w:val="00DC5A06"/>
    <w:rsid w:val="00DD5135"/>
    <w:rsid w:val="00DD52AA"/>
    <w:rsid w:val="00DD5A07"/>
    <w:rsid w:val="00DD5DAB"/>
    <w:rsid w:val="00DE2EBA"/>
    <w:rsid w:val="00DE4C96"/>
    <w:rsid w:val="00DE70F2"/>
    <w:rsid w:val="00DE7165"/>
    <w:rsid w:val="00DF17CF"/>
    <w:rsid w:val="00DF24B2"/>
    <w:rsid w:val="00E01179"/>
    <w:rsid w:val="00E02D65"/>
    <w:rsid w:val="00E05C71"/>
    <w:rsid w:val="00E073DF"/>
    <w:rsid w:val="00E12508"/>
    <w:rsid w:val="00E24B1E"/>
    <w:rsid w:val="00E2777E"/>
    <w:rsid w:val="00E347C4"/>
    <w:rsid w:val="00E40BB1"/>
    <w:rsid w:val="00E41845"/>
    <w:rsid w:val="00E506BB"/>
    <w:rsid w:val="00E5099E"/>
    <w:rsid w:val="00E57E0B"/>
    <w:rsid w:val="00E640C6"/>
    <w:rsid w:val="00E64D78"/>
    <w:rsid w:val="00E65FED"/>
    <w:rsid w:val="00E73D82"/>
    <w:rsid w:val="00E76A86"/>
    <w:rsid w:val="00E82132"/>
    <w:rsid w:val="00E86251"/>
    <w:rsid w:val="00E924B5"/>
    <w:rsid w:val="00E92D8C"/>
    <w:rsid w:val="00EA0342"/>
    <w:rsid w:val="00EA5A7F"/>
    <w:rsid w:val="00EB2C78"/>
    <w:rsid w:val="00EB4C55"/>
    <w:rsid w:val="00EB68E4"/>
    <w:rsid w:val="00EC045E"/>
    <w:rsid w:val="00EC22EC"/>
    <w:rsid w:val="00EC4CA7"/>
    <w:rsid w:val="00EC508A"/>
    <w:rsid w:val="00ED0F02"/>
    <w:rsid w:val="00EE3093"/>
    <w:rsid w:val="00EE7774"/>
    <w:rsid w:val="00EF73BF"/>
    <w:rsid w:val="00F00794"/>
    <w:rsid w:val="00F03716"/>
    <w:rsid w:val="00F0471F"/>
    <w:rsid w:val="00F04E5C"/>
    <w:rsid w:val="00F05843"/>
    <w:rsid w:val="00F05A86"/>
    <w:rsid w:val="00F10D01"/>
    <w:rsid w:val="00F10E46"/>
    <w:rsid w:val="00F20335"/>
    <w:rsid w:val="00F208EB"/>
    <w:rsid w:val="00F21C17"/>
    <w:rsid w:val="00F26840"/>
    <w:rsid w:val="00F30232"/>
    <w:rsid w:val="00F32317"/>
    <w:rsid w:val="00F33839"/>
    <w:rsid w:val="00F3485A"/>
    <w:rsid w:val="00F4137B"/>
    <w:rsid w:val="00F46F9E"/>
    <w:rsid w:val="00F4759C"/>
    <w:rsid w:val="00F50AA2"/>
    <w:rsid w:val="00F53B6A"/>
    <w:rsid w:val="00F54C3D"/>
    <w:rsid w:val="00F6180E"/>
    <w:rsid w:val="00F6220B"/>
    <w:rsid w:val="00F74401"/>
    <w:rsid w:val="00F74BA2"/>
    <w:rsid w:val="00F85A76"/>
    <w:rsid w:val="00F95885"/>
    <w:rsid w:val="00FA05CA"/>
    <w:rsid w:val="00FA1FFA"/>
    <w:rsid w:val="00FA2FFB"/>
    <w:rsid w:val="00FA6B10"/>
    <w:rsid w:val="00FB2D95"/>
    <w:rsid w:val="00FC01D2"/>
    <w:rsid w:val="00FC4736"/>
    <w:rsid w:val="00FC4B31"/>
    <w:rsid w:val="00FC4C51"/>
    <w:rsid w:val="00FC63DC"/>
    <w:rsid w:val="00FD0483"/>
    <w:rsid w:val="00FD1A2C"/>
    <w:rsid w:val="00FD3BF5"/>
    <w:rsid w:val="00FD69C6"/>
    <w:rsid w:val="00FF400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F4A888C"/>
  <w15:docId w15:val="{B4E6F838-867D-478D-8F3E-D7DF83AD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1280"/>
  </w:style>
  <w:style w:type="paragraph" w:styleId="Stopka">
    <w:name w:val="footer"/>
    <w:basedOn w:val="Normalny"/>
    <w:link w:val="Stopka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0"/>
  </w:style>
  <w:style w:type="paragraph" w:styleId="Tekstdymka">
    <w:name w:val="Balloon Text"/>
    <w:basedOn w:val="Normalny"/>
    <w:link w:val="TekstdymkaZnak"/>
    <w:uiPriority w:val="99"/>
    <w:semiHidden/>
    <w:unhideWhenUsed/>
    <w:rsid w:val="008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2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F3231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F32317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90A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AA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733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335DB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rsid w:val="007335DB"/>
    <w:rPr>
      <w:vertAlign w:val="superscript"/>
    </w:rPr>
  </w:style>
  <w:style w:type="paragraph" w:styleId="Poprawka">
    <w:name w:val="Revision"/>
    <w:hidden/>
    <w:uiPriority w:val="99"/>
    <w:semiHidden/>
    <w:rsid w:val="00997070"/>
    <w:pPr>
      <w:spacing w:after="0" w:line="240" w:lineRule="auto"/>
    </w:pPr>
  </w:style>
  <w:style w:type="paragraph" w:customStyle="1" w:styleId="Default">
    <w:name w:val="Default"/>
    <w:rsid w:val="00957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c.europa.eu/eurostat/ramon/documents/DEGURBA/DEGURBA_Methodology_DG_REGIO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p.eurostat.ec.europa.eu/portal/page/portal/degree_urbanisation/introduct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425D-C45B-415F-AF3B-4C4CDD2B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2827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BARCZ</dc:creator>
  <cp:lastModifiedBy>KRZYSZTOF MICHLIK</cp:lastModifiedBy>
  <cp:revision>14</cp:revision>
  <cp:lastPrinted>2015-08-13T07:51:00Z</cp:lastPrinted>
  <dcterms:created xsi:type="dcterms:W3CDTF">2015-09-30T12:05:00Z</dcterms:created>
  <dcterms:modified xsi:type="dcterms:W3CDTF">2016-05-24T09:32:00Z</dcterms:modified>
</cp:coreProperties>
</file>