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CB34F" w14:textId="77777777" w:rsidR="00136D60" w:rsidRDefault="00136D60" w:rsidP="00136D60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4C37BFA1" w14:textId="77777777" w:rsidR="00136D60" w:rsidRDefault="00136D60" w:rsidP="00136D60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11BF6CEA" w14:textId="77777777" w:rsidR="00136D60" w:rsidRDefault="00136D60" w:rsidP="00136D60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77C21649" w14:textId="77777777" w:rsidR="00136D60" w:rsidRDefault="00136D60" w:rsidP="00136D60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0C9F0295" w14:textId="77777777" w:rsidR="00FD69C6" w:rsidRDefault="00FD69C6" w:rsidP="00FD69C6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 w:rsidRPr="00FD69C6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Lista wskaźników na poziomie projektu </w:t>
      </w:r>
    </w:p>
    <w:p w14:paraId="0C60E01F" w14:textId="4B32CFC4" w:rsidR="00FD69C6" w:rsidRPr="00FD69C6" w:rsidRDefault="00FD69C6" w:rsidP="00FD69C6">
      <w:pPr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 w:rsidRPr="00FD69C6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dla Poddziałania 9.1.1 Wsparcie kształcenia ogólnego </w:t>
      </w:r>
    </w:p>
    <w:p w14:paraId="63E8E391" w14:textId="7B82BF8E" w:rsidR="008E7FF7" w:rsidRPr="00136D60" w:rsidRDefault="00FD69C6" w:rsidP="00FD69C6">
      <w:pPr>
        <w:jc w:val="center"/>
        <w:rPr>
          <w:rFonts w:eastAsiaTheme="minorEastAsia"/>
          <w:b/>
          <w:lang w:eastAsia="pl-PL"/>
        </w:rPr>
      </w:pPr>
      <w:r w:rsidRPr="00FD69C6">
        <w:rPr>
          <w:rFonts w:eastAsiaTheme="minorEastAsia"/>
          <w:b/>
          <w:i/>
          <w:color w:val="000099"/>
          <w:sz w:val="44"/>
          <w:szCs w:val="28"/>
          <w:lang w:eastAsia="pl-PL"/>
        </w:rPr>
        <w:t>w ramach RPO WO 2014-2020</w:t>
      </w:r>
    </w:p>
    <w:p w14:paraId="334E28F9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886B212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  <w:r w:rsidRPr="00136D60">
        <w:rPr>
          <w:rFonts w:eastAsiaTheme="minorEastAsia"/>
          <w:b/>
          <w:lang w:eastAsia="pl-PL"/>
        </w:rPr>
        <w:br w:type="page"/>
      </w:r>
    </w:p>
    <w:p w14:paraId="426A3FA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11968E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46D9267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3A5ECA4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F7418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3CDBD6C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6E8842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12243D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3A91D5D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7C481AE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8AFA00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49A8EF3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86ABD6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1F194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7BCB884D" w14:textId="77777777" w:rsidR="00136D60" w:rsidRPr="00136D60" w:rsidRDefault="00136D60" w:rsidP="00136D60">
      <w:pPr>
        <w:spacing w:after="0"/>
        <w:rPr>
          <w:rFonts w:eastAsiaTheme="minorEastAsia"/>
          <w:b/>
          <w:color w:val="000099"/>
          <w:sz w:val="18"/>
          <w:u w:val="single"/>
          <w:lang w:eastAsia="pl-PL"/>
        </w:rPr>
      </w:pPr>
      <w:r w:rsidRPr="00136D60">
        <w:rPr>
          <w:rFonts w:eastAsiaTheme="minorEastAsia"/>
          <w:b/>
          <w:color w:val="000099"/>
          <w:sz w:val="18"/>
          <w:u w:val="single"/>
          <w:lang w:eastAsia="pl-PL"/>
        </w:rPr>
        <w:t>Opracowanie:</w:t>
      </w:r>
    </w:p>
    <w:p w14:paraId="4A38F087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Departament Koordynacji Programów Operacyjnych</w:t>
      </w:r>
    </w:p>
    <w:p w14:paraId="05703CF2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Urząd Marszałkowski Województwa Opolskiego</w:t>
      </w:r>
    </w:p>
    <w:p w14:paraId="3DDEB17B" w14:textId="674AB127" w:rsidR="00136D60" w:rsidRDefault="00CF0720" w:rsidP="00E01179">
      <w:pPr>
        <w:spacing w:after="0"/>
        <w:rPr>
          <w:rFonts w:eastAsiaTheme="minorEastAsia"/>
          <w:b/>
          <w:lang w:eastAsia="pl-PL"/>
        </w:rPr>
      </w:pPr>
      <w:r>
        <w:rPr>
          <w:rFonts w:eastAsiaTheme="minorEastAsia"/>
          <w:color w:val="000099"/>
          <w:sz w:val="18"/>
          <w:lang w:eastAsia="pl-PL"/>
        </w:rPr>
        <w:t xml:space="preserve">Opole, </w:t>
      </w:r>
      <w:r w:rsidR="001506D8">
        <w:rPr>
          <w:rFonts w:eastAsiaTheme="minorEastAsia"/>
          <w:color w:val="000099"/>
          <w:sz w:val="18"/>
          <w:lang w:eastAsia="pl-PL"/>
        </w:rPr>
        <w:t>październik 2016</w:t>
      </w:r>
      <w:bookmarkStart w:id="0" w:name="_GoBack"/>
      <w:bookmarkEnd w:id="0"/>
      <w:r w:rsidR="00136D60" w:rsidRPr="00136D60">
        <w:rPr>
          <w:rFonts w:eastAsiaTheme="minorEastAsia"/>
          <w:color w:val="000099"/>
          <w:sz w:val="18"/>
          <w:lang w:eastAsia="pl-PL"/>
        </w:rPr>
        <w:t xml:space="preserve"> r.</w:t>
      </w:r>
    </w:p>
    <w:p w14:paraId="234BA3E9" w14:textId="77777777" w:rsidR="00E01179" w:rsidRDefault="00E01179" w:rsidP="00E01179">
      <w:pPr>
        <w:spacing w:after="0"/>
        <w:rPr>
          <w:rFonts w:eastAsiaTheme="minorEastAsia"/>
          <w:b/>
          <w:lang w:eastAsia="pl-PL"/>
        </w:rPr>
      </w:pPr>
    </w:p>
    <w:p w14:paraId="31E4A7F6" w14:textId="77777777" w:rsidR="008E7FF7" w:rsidRDefault="008E7FF7" w:rsidP="00E01179">
      <w:pPr>
        <w:spacing w:after="0"/>
        <w:rPr>
          <w:rFonts w:eastAsiaTheme="minorEastAsia"/>
          <w:b/>
          <w:lang w:eastAsia="pl-PL"/>
        </w:rPr>
      </w:pPr>
    </w:p>
    <w:p w14:paraId="2C0C5E16" w14:textId="77777777" w:rsidR="008E7FF7" w:rsidRPr="00E01179" w:rsidRDefault="008E7FF7" w:rsidP="00E01179">
      <w:pPr>
        <w:spacing w:after="0"/>
        <w:rPr>
          <w:rFonts w:eastAsiaTheme="minorEastAsia"/>
          <w:b/>
          <w:lang w:eastAsia="pl-PL"/>
        </w:rPr>
      </w:pPr>
    </w:p>
    <w:p w14:paraId="27DBEE86" w14:textId="77777777" w:rsidR="00BE377C" w:rsidRPr="007832FF" w:rsidRDefault="00C374C2" w:rsidP="00610768">
      <w:pPr>
        <w:spacing w:after="0"/>
        <w:ind w:left="-709"/>
        <w:rPr>
          <w:b/>
          <w:i/>
        </w:rPr>
      </w:pPr>
      <w:r w:rsidRPr="000C3414">
        <w:rPr>
          <w:b/>
        </w:rPr>
        <w:t xml:space="preserve">Tabela </w:t>
      </w:r>
      <w:r w:rsidR="00FC4C51" w:rsidRPr="000C3414">
        <w:rPr>
          <w:b/>
        </w:rPr>
        <w:t xml:space="preserve">1 </w:t>
      </w:r>
      <w:r w:rsidR="00FC4C51" w:rsidRPr="007832FF">
        <w:rPr>
          <w:i/>
        </w:rPr>
        <w:t>Zestawienie wskaźników EFS na poziomie projektu RPO WO 2014-2020</w:t>
      </w:r>
    </w:p>
    <w:tbl>
      <w:tblPr>
        <w:tblStyle w:val="Tabela-Siatka"/>
        <w:tblW w:w="1559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2381"/>
        <w:gridCol w:w="1134"/>
        <w:gridCol w:w="1248"/>
        <w:gridCol w:w="28"/>
        <w:gridCol w:w="1389"/>
        <w:gridCol w:w="28"/>
        <w:gridCol w:w="1390"/>
        <w:gridCol w:w="28"/>
        <w:gridCol w:w="1842"/>
        <w:gridCol w:w="5528"/>
      </w:tblGrid>
      <w:tr w:rsidR="00C37A8F" w:rsidRPr="00BE71DE" w14:paraId="10F0E22F" w14:textId="77777777" w:rsidTr="00902971">
        <w:trPr>
          <w:trHeight w:val="829"/>
          <w:tblHeader/>
          <w:jc w:val="center"/>
        </w:trPr>
        <w:tc>
          <w:tcPr>
            <w:tcW w:w="567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3B5A4C18" w14:textId="77777777" w:rsidR="008974BB" w:rsidRPr="00136D60" w:rsidRDefault="008974BB" w:rsidP="00C37A8F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L.p.</w:t>
            </w:r>
          </w:p>
        </w:tc>
        <w:tc>
          <w:tcPr>
            <w:tcW w:w="2410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225FE27" w14:textId="77777777" w:rsidR="008974BB" w:rsidRPr="00136D60" w:rsidRDefault="008974BB" w:rsidP="00C37A8F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Nazwa wskaźnika</w:t>
            </w:r>
          </w:p>
        </w:tc>
        <w:tc>
          <w:tcPr>
            <w:tcW w:w="1134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5693D1F1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Jednostka miary</w:t>
            </w:r>
          </w:p>
        </w:tc>
        <w:tc>
          <w:tcPr>
            <w:tcW w:w="1276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7FE9F818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Rodzaj wskaźnika</w:t>
            </w:r>
          </w:p>
        </w:tc>
        <w:tc>
          <w:tcPr>
            <w:tcW w:w="1417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4DDF9FFD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Charakter wskaźnika</w:t>
            </w:r>
          </w:p>
        </w:tc>
        <w:tc>
          <w:tcPr>
            <w:tcW w:w="1418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7097CB6" w14:textId="77777777" w:rsidR="008974BB" w:rsidRPr="00136D60" w:rsidRDefault="008974BB" w:rsidP="00C93A1D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Typ wskaźnika</w:t>
            </w:r>
          </w:p>
        </w:tc>
        <w:tc>
          <w:tcPr>
            <w:tcW w:w="1842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620216C0" w14:textId="77777777" w:rsidR="008974BB" w:rsidRPr="00136D60" w:rsidRDefault="008974BB" w:rsidP="0083699C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Inne uwagi</w:t>
            </w:r>
          </w:p>
        </w:tc>
        <w:tc>
          <w:tcPr>
            <w:tcW w:w="5528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052FAC47" w14:textId="77777777" w:rsidR="008974BB" w:rsidRPr="00136D60" w:rsidRDefault="008974BB" w:rsidP="00136D60">
            <w:p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Definicja</w:t>
            </w:r>
          </w:p>
        </w:tc>
      </w:tr>
      <w:tr w:rsidR="00997070" w:rsidRPr="00C93A1D" w14:paraId="211BAF4B" w14:textId="77777777" w:rsidTr="00902971">
        <w:trPr>
          <w:trHeight w:val="521"/>
          <w:jc w:val="center"/>
        </w:trPr>
        <w:tc>
          <w:tcPr>
            <w:tcW w:w="15592" w:type="dxa"/>
            <w:gridSpan w:val="12"/>
            <w:tcBorders>
              <w:top w:val="single" w:sz="12" w:space="0" w:color="92D050"/>
            </w:tcBorders>
            <w:vAlign w:val="center"/>
          </w:tcPr>
          <w:p w14:paraId="0421D602" w14:textId="77777777" w:rsidR="00997070" w:rsidRPr="00997070" w:rsidRDefault="00997070" w:rsidP="00997070">
            <w:pPr>
              <w:pStyle w:val="Akapitzlist"/>
              <w:tabs>
                <w:tab w:val="left" w:pos="3402"/>
                <w:tab w:val="left" w:pos="5103"/>
              </w:tabs>
              <w:ind w:left="0"/>
              <w:jc w:val="center"/>
              <w:rPr>
                <w:rFonts w:asciiTheme="minorHAnsi" w:hAnsiTheme="minorHAnsi" w:cs="Calibri"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997070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Wskaźniki horyzontalne</w:t>
            </w:r>
          </w:p>
        </w:tc>
      </w:tr>
      <w:tr w:rsidR="00FD69C6" w:rsidRPr="00C93A1D" w14:paraId="1B87EF1E" w14:textId="77777777" w:rsidTr="00902971">
        <w:trPr>
          <w:jc w:val="center"/>
        </w:trPr>
        <w:tc>
          <w:tcPr>
            <w:tcW w:w="596" w:type="dxa"/>
            <w:gridSpan w:val="2"/>
            <w:tcBorders>
              <w:top w:val="single" w:sz="12" w:space="0" w:color="92D050"/>
            </w:tcBorders>
            <w:vAlign w:val="center"/>
          </w:tcPr>
          <w:p w14:paraId="3E209C4C" w14:textId="23088E72" w:rsidR="00FD69C6" w:rsidRPr="00D02C9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  <w:color w:val="17365D" w:themeColor="text2" w:themeShade="BF"/>
              </w:rPr>
            </w:pPr>
            <w:r w:rsidRPr="00D02C92">
              <w:rPr>
                <w:b/>
              </w:rPr>
              <w:t>1.</w:t>
            </w:r>
          </w:p>
        </w:tc>
        <w:tc>
          <w:tcPr>
            <w:tcW w:w="2381" w:type="dxa"/>
            <w:tcBorders>
              <w:top w:val="single" w:sz="12" w:space="0" w:color="92D050"/>
            </w:tcBorders>
            <w:vAlign w:val="center"/>
          </w:tcPr>
          <w:p w14:paraId="0418F777" w14:textId="27210CC6" w:rsidR="00FD69C6" w:rsidRPr="00F3485A" w:rsidRDefault="00FD69C6" w:rsidP="00FD69C6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obiektów dostosowanych do potrzeb osób </w:t>
            </w:r>
            <w:r>
              <w:rPr>
                <w:i/>
                <w:sz w:val="20"/>
                <w:szCs w:val="20"/>
              </w:rPr>
              <w:br/>
              <w:t>z n</w:t>
            </w:r>
            <w:r w:rsidRPr="0040005D">
              <w:rPr>
                <w:i/>
                <w:sz w:val="20"/>
                <w:szCs w:val="20"/>
              </w:rPr>
              <w:t>iepełnosprawnościami</w:t>
            </w:r>
          </w:p>
        </w:tc>
        <w:tc>
          <w:tcPr>
            <w:tcW w:w="1134" w:type="dxa"/>
            <w:tcBorders>
              <w:top w:val="single" w:sz="12" w:space="0" w:color="92D050"/>
            </w:tcBorders>
            <w:vAlign w:val="center"/>
          </w:tcPr>
          <w:p w14:paraId="4CDA3A44" w14:textId="5BD2D81E" w:rsidR="00FD69C6" w:rsidRPr="00F3485A" w:rsidRDefault="00FD69C6" w:rsidP="00FD69C6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tcBorders>
              <w:top w:val="single" w:sz="12" w:space="0" w:color="92D050"/>
            </w:tcBorders>
            <w:vAlign w:val="center"/>
          </w:tcPr>
          <w:p w14:paraId="6AFA18B8" w14:textId="6EC0265D" w:rsidR="00FD69C6" w:rsidRPr="00FC63DC" w:rsidRDefault="00FD69C6" w:rsidP="00FD69C6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tcBorders>
              <w:top w:val="single" w:sz="12" w:space="0" w:color="92D050"/>
            </w:tcBorders>
            <w:vAlign w:val="center"/>
          </w:tcPr>
          <w:p w14:paraId="179338C4" w14:textId="1ADACD45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top w:val="single" w:sz="12" w:space="0" w:color="92D050"/>
            </w:tcBorders>
            <w:vAlign w:val="center"/>
          </w:tcPr>
          <w:p w14:paraId="05F57CAA" w14:textId="6F8DA3C3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12" w:space="0" w:color="92D050"/>
            </w:tcBorders>
            <w:vAlign w:val="center"/>
          </w:tcPr>
          <w:p w14:paraId="35BC47D8" w14:textId="7F566B1F" w:rsidR="00FD69C6" w:rsidRPr="00F3485A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528" w:type="dxa"/>
            <w:tcBorders>
              <w:top w:val="single" w:sz="12" w:space="0" w:color="92D050"/>
            </w:tcBorders>
            <w:vAlign w:val="center"/>
          </w:tcPr>
          <w:p w14:paraId="3158781A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Wskaźnik odnosi się do liczby obiektów, które zaopatrzono </w:t>
            </w:r>
            <w:r w:rsidRPr="00136D60">
              <w:br/>
              <w:t>w specjalne podjazdy, windy, urządzenia głośnomówiące,</w:t>
            </w:r>
            <w:r>
              <w:t xml:space="preserve"> </w:t>
            </w:r>
            <w:r w:rsidRPr="00136D60">
              <w:t>bądź inne udogodnienia (tj. usunięcie barier w dostępie, w szczególności barier architektonicznych) ułatwiające</w:t>
            </w:r>
            <w:r>
              <w:t xml:space="preserve"> </w:t>
            </w:r>
            <w:r w:rsidRPr="00136D60">
              <w:t>dostęp do tych obiektów i poruszanie się po nich osobom niepełnosprawnym ruchowo czy sensorycznie.</w:t>
            </w:r>
          </w:p>
          <w:p w14:paraId="2A045065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Jako obiekty budowlane należy rozumieć konstrukcje połączone </w:t>
            </w:r>
            <w:r>
              <w:br/>
            </w:r>
            <w:r w:rsidRPr="00136D60">
              <w:t xml:space="preserve">z gruntem w sposób </w:t>
            </w:r>
            <w:r w:rsidRPr="00036830">
              <w:t>trwały, wykonane z materiałów budowlanych i elementów składowych, będące</w:t>
            </w:r>
            <w:r>
              <w:t xml:space="preserve"> </w:t>
            </w:r>
            <w:r w:rsidRPr="00136D60">
              <w:t>wynikiem prac budowlanych (wg. def. PKOB).</w:t>
            </w:r>
          </w:p>
          <w:p w14:paraId="028CE918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Należy podać liczbę obiektów, a nie sprzętów, urządzeń itp., </w:t>
            </w:r>
            <w:r w:rsidRPr="00136D60">
              <w:br/>
              <w:t>w które obiekty zaopatrzono.</w:t>
            </w:r>
          </w:p>
          <w:p w14:paraId="72D6EC3F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Jeśli instytucja, zakład itp. składa się z kilku obiektów, należy zliczyć wszystkie, które dostosowano do potrzeb osób</w:t>
            </w:r>
          </w:p>
          <w:p w14:paraId="3A322560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0"/>
              <w:jc w:val="both"/>
            </w:pPr>
            <w:r w:rsidRPr="00136D60">
              <w:t>niepełnosprawnych.</w:t>
            </w:r>
            <w:r w:rsidRPr="00136D60" w:rsidDel="00997070">
              <w:t xml:space="preserve"> </w:t>
            </w:r>
          </w:p>
          <w:p w14:paraId="26B57CF8" w14:textId="27099E48" w:rsidR="00FD69C6" w:rsidRPr="00B12AE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0"/>
              <w:jc w:val="both"/>
            </w:pPr>
          </w:p>
        </w:tc>
      </w:tr>
      <w:tr w:rsidR="00FD69C6" w:rsidRPr="00C93A1D" w14:paraId="2C66F84D" w14:textId="77777777" w:rsidTr="00902971">
        <w:trPr>
          <w:jc w:val="center"/>
        </w:trPr>
        <w:tc>
          <w:tcPr>
            <w:tcW w:w="596" w:type="dxa"/>
            <w:gridSpan w:val="2"/>
            <w:tcBorders>
              <w:top w:val="single" w:sz="12" w:space="0" w:color="92D050"/>
            </w:tcBorders>
            <w:vAlign w:val="center"/>
          </w:tcPr>
          <w:p w14:paraId="48ED0E24" w14:textId="4ECDAC5C" w:rsidR="00FD69C6" w:rsidRPr="00D02C9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  <w:color w:val="17365D" w:themeColor="text2" w:themeShade="BF"/>
              </w:rPr>
            </w:pPr>
            <w:r w:rsidRPr="00D02C92">
              <w:rPr>
                <w:b/>
              </w:rPr>
              <w:t>2.</w:t>
            </w:r>
          </w:p>
        </w:tc>
        <w:tc>
          <w:tcPr>
            <w:tcW w:w="2381" w:type="dxa"/>
            <w:tcBorders>
              <w:top w:val="single" w:sz="12" w:space="0" w:color="92D050"/>
            </w:tcBorders>
            <w:vAlign w:val="center"/>
          </w:tcPr>
          <w:p w14:paraId="4944566A" w14:textId="76E936EB" w:rsidR="00FD69C6" w:rsidRPr="00F3485A" w:rsidRDefault="00FD69C6" w:rsidP="00FD69C6">
            <w:pPr>
              <w:tabs>
                <w:tab w:val="left" w:pos="3402"/>
                <w:tab w:val="left" w:pos="5103"/>
              </w:tabs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>Liczba osób objętych szkoleniami / doradztwem w zakresie kompetencji</w:t>
            </w:r>
            <w:r>
              <w:rPr>
                <w:i/>
                <w:sz w:val="20"/>
                <w:szCs w:val="20"/>
              </w:rPr>
              <w:t xml:space="preserve"> cyfrowych</w:t>
            </w:r>
          </w:p>
        </w:tc>
        <w:tc>
          <w:tcPr>
            <w:tcW w:w="1134" w:type="dxa"/>
            <w:tcBorders>
              <w:top w:val="single" w:sz="12" w:space="0" w:color="92D050"/>
            </w:tcBorders>
            <w:vAlign w:val="center"/>
          </w:tcPr>
          <w:p w14:paraId="5DB40A74" w14:textId="75FE4ED7" w:rsidR="00FD69C6" w:rsidRPr="00F3485A" w:rsidRDefault="00FD69C6" w:rsidP="00FD69C6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osoby</w:t>
            </w:r>
          </w:p>
        </w:tc>
        <w:tc>
          <w:tcPr>
            <w:tcW w:w="1248" w:type="dxa"/>
            <w:tcBorders>
              <w:top w:val="single" w:sz="12" w:space="0" w:color="92D050"/>
            </w:tcBorders>
            <w:vAlign w:val="center"/>
          </w:tcPr>
          <w:p w14:paraId="5F01FE32" w14:textId="436868DD" w:rsidR="00FD69C6" w:rsidRPr="00FC63DC" w:rsidRDefault="00FD69C6" w:rsidP="00FD69C6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tcBorders>
              <w:top w:val="single" w:sz="12" w:space="0" w:color="92D050"/>
            </w:tcBorders>
            <w:vAlign w:val="center"/>
          </w:tcPr>
          <w:p w14:paraId="6A81C03E" w14:textId="69A96286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top w:val="single" w:sz="12" w:space="0" w:color="92D050"/>
            </w:tcBorders>
            <w:vAlign w:val="center"/>
          </w:tcPr>
          <w:p w14:paraId="0EB902F0" w14:textId="7F15D632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12" w:space="0" w:color="92D050"/>
            </w:tcBorders>
            <w:vAlign w:val="center"/>
          </w:tcPr>
          <w:p w14:paraId="6AB260B1" w14:textId="0B446C6B" w:rsidR="00FD69C6" w:rsidRPr="00F3485A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528" w:type="dxa"/>
            <w:tcBorders>
              <w:top w:val="single" w:sz="12" w:space="0" w:color="92D050"/>
            </w:tcBorders>
            <w:vAlign w:val="center"/>
          </w:tcPr>
          <w:p w14:paraId="5AFFEB15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Wskaźnik mierzy liczbę osób objętych szkoleniami / doradztwem w zakresie nabywania / doskonalenia umiejętności</w:t>
            </w:r>
            <w:r>
              <w:t xml:space="preserve"> </w:t>
            </w:r>
            <w:r w:rsidRPr="00136D60">
              <w:t>warunkujących efektywne korzystanie z mediów elektronicznych tj. m.in. korzystania z komputera, różnych rodzajów</w:t>
            </w:r>
            <w:r>
              <w:t xml:space="preserve"> </w:t>
            </w:r>
            <w:r w:rsidRPr="00136D60">
              <w:t xml:space="preserve">oprogramowania, </w:t>
            </w:r>
            <w:proofErr w:type="spellStart"/>
            <w:r w:rsidRPr="00136D60">
              <w:t>internetu</w:t>
            </w:r>
            <w:proofErr w:type="spellEnd"/>
            <w:r w:rsidRPr="00136D60">
              <w:t xml:space="preserve"> oraz kompetencji ściśle informatycznych (np. programowanie, zarządzanie bazami</w:t>
            </w:r>
            <w:r>
              <w:t xml:space="preserve"> </w:t>
            </w:r>
            <w:r w:rsidRPr="00136D60">
              <w:t>danych, administracja sieciami, administracja witrynami internetowymi).</w:t>
            </w:r>
          </w:p>
          <w:p w14:paraId="26EA76E5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Wskaźnik ma agregować wszystkie osoby objęte wsparciem </w:t>
            </w:r>
            <w:r w:rsidRPr="00136D60">
              <w:br/>
              <w:t>w zakresie TIK we wszystkich programach i projektach,</w:t>
            </w:r>
            <w:r>
              <w:t xml:space="preserve"> </w:t>
            </w:r>
            <w:r w:rsidRPr="00136D60">
              <w:t>także tych, gdzie szkolenie dotyczy obsługi specyficznego systemu teleinformatycznego, którego wdrożenia dotyczy</w:t>
            </w:r>
          </w:p>
          <w:p w14:paraId="0BE0091C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lastRenderedPageBreak/>
              <w:t>projekt. Taka sytuacja może wystąpić przy cross-</w:t>
            </w:r>
            <w:proofErr w:type="spellStart"/>
            <w:r w:rsidRPr="00136D60">
              <w:t>financingu</w:t>
            </w:r>
            <w:proofErr w:type="spellEnd"/>
            <w:r w:rsidRPr="00136D60">
              <w:br/>
              <w:t>w projektach POPC i RPO dotyczących e-usług</w:t>
            </w:r>
            <w:r>
              <w:t xml:space="preserve"> </w:t>
            </w:r>
            <w:r w:rsidRPr="00136D60">
              <w:t>publicznych, ale również np. w POIŚ przy okazji wdrażania inteligentnych systemów transportowych. Identyfikacja</w:t>
            </w:r>
            <w:r>
              <w:t xml:space="preserve"> </w:t>
            </w:r>
            <w:r w:rsidRPr="00136D60">
              <w:t>charakteru i zakresu nabywanych kompetencji będzie możliwa dzięki możliwości pogrupowania wskaźnika według</w:t>
            </w:r>
            <w:r>
              <w:t xml:space="preserve"> </w:t>
            </w:r>
            <w:r w:rsidRPr="00136D60">
              <w:t>programów, osi priorytetowych i priorytetów inwestycyjnych.</w:t>
            </w:r>
            <w:r w:rsidRPr="00136D60" w:rsidDel="00997070">
              <w:t xml:space="preserve"> </w:t>
            </w:r>
          </w:p>
          <w:p w14:paraId="520F34BC" w14:textId="76474406" w:rsidR="00FD69C6" w:rsidRPr="00B12AE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</w:tc>
      </w:tr>
      <w:tr w:rsidR="00FD69C6" w:rsidRPr="00C93A1D" w14:paraId="018A2FA2" w14:textId="77777777" w:rsidTr="007D0710">
        <w:trPr>
          <w:trHeight w:val="605"/>
          <w:jc w:val="center"/>
        </w:trPr>
        <w:tc>
          <w:tcPr>
            <w:tcW w:w="596" w:type="dxa"/>
            <w:gridSpan w:val="2"/>
            <w:tcBorders>
              <w:top w:val="single" w:sz="12" w:space="0" w:color="92D050"/>
            </w:tcBorders>
            <w:vAlign w:val="center"/>
          </w:tcPr>
          <w:p w14:paraId="055059F3" w14:textId="1D8ACC47" w:rsidR="00FD69C6" w:rsidRPr="00D02C9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34"/>
              <w:rPr>
                <w:b/>
                <w:color w:val="17365D" w:themeColor="text2" w:themeShade="BF"/>
              </w:rPr>
            </w:pPr>
            <w:r w:rsidRPr="00D02C92">
              <w:rPr>
                <w:b/>
              </w:rPr>
              <w:lastRenderedPageBreak/>
              <w:t>3.</w:t>
            </w:r>
          </w:p>
        </w:tc>
        <w:tc>
          <w:tcPr>
            <w:tcW w:w="2381" w:type="dxa"/>
            <w:tcBorders>
              <w:top w:val="single" w:sz="12" w:space="0" w:color="92D050"/>
            </w:tcBorders>
            <w:vAlign w:val="center"/>
          </w:tcPr>
          <w:p w14:paraId="769766B0" w14:textId="4765777F" w:rsidR="00FD69C6" w:rsidRPr="00F3485A" w:rsidRDefault="00FD69C6" w:rsidP="00FD69C6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projektów,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 xml:space="preserve">w których sfinansowano koszty </w:t>
            </w:r>
            <w:r>
              <w:rPr>
                <w:i/>
                <w:sz w:val="20"/>
                <w:szCs w:val="20"/>
              </w:rPr>
              <w:t>r</w:t>
            </w:r>
            <w:r w:rsidRPr="0040005D">
              <w:rPr>
                <w:i/>
                <w:sz w:val="20"/>
                <w:szCs w:val="20"/>
              </w:rPr>
              <w:t>acjonalnych usprawnień dla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0005D">
              <w:rPr>
                <w:i/>
                <w:sz w:val="20"/>
                <w:szCs w:val="20"/>
              </w:rPr>
              <w:t xml:space="preserve">osób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>z niepełnosprawnościami</w:t>
            </w:r>
          </w:p>
        </w:tc>
        <w:tc>
          <w:tcPr>
            <w:tcW w:w="1134" w:type="dxa"/>
            <w:tcBorders>
              <w:top w:val="single" w:sz="12" w:space="0" w:color="92D050"/>
            </w:tcBorders>
            <w:vAlign w:val="center"/>
          </w:tcPr>
          <w:p w14:paraId="294B5C9C" w14:textId="74365785" w:rsidR="00FD69C6" w:rsidRPr="00F3485A" w:rsidRDefault="00FD69C6" w:rsidP="00FD69C6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tcBorders>
              <w:top w:val="single" w:sz="12" w:space="0" w:color="92D050"/>
            </w:tcBorders>
            <w:vAlign w:val="center"/>
          </w:tcPr>
          <w:p w14:paraId="4B2C8B16" w14:textId="1EE349FB" w:rsidR="00FD69C6" w:rsidRPr="00FC63DC" w:rsidRDefault="00FD69C6" w:rsidP="00FD69C6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tcBorders>
              <w:top w:val="single" w:sz="12" w:space="0" w:color="92D050"/>
            </w:tcBorders>
            <w:vAlign w:val="center"/>
          </w:tcPr>
          <w:p w14:paraId="06E0B099" w14:textId="7A195561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641F8D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top w:val="single" w:sz="12" w:space="0" w:color="92D050"/>
            </w:tcBorders>
            <w:vAlign w:val="center"/>
          </w:tcPr>
          <w:p w14:paraId="74E39CBE" w14:textId="07D9DA36" w:rsidR="00FD69C6" w:rsidRPr="00FC63DC" w:rsidRDefault="00FD69C6" w:rsidP="00FD69C6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12" w:space="0" w:color="92D050"/>
            </w:tcBorders>
            <w:vAlign w:val="center"/>
          </w:tcPr>
          <w:p w14:paraId="5B0129F2" w14:textId="2EA1692D" w:rsidR="00FD69C6" w:rsidRPr="00F3485A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528" w:type="dxa"/>
            <w:tcBorders>
              <w:top w:val="single" w:sz="12" w:space="0" w:color="92D050"/>
            </w:tcBorders>
            <w:vAlign w:val="center"/>
          </w:tcPr>
          <w:p w14:paraId="6B756876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Racjonalne usprawnienie oznacza konieczne i odpowiednie zmiany oraz dostosowania, nie nakładające</w:t>
            </w:r>
            <w:r>
              <w:t xml:space="preserve"> </w:t>
            </w:r>
            <w:r w:rsidRPr="00136D60">
              <w:t>nieproporcjonalnego lub nadmiernego obciążenia, rozpatrywane osobno dla każdego konkretnego przypadku, w celu</w:t>
            </w:r>
            <w:r>
              <w:t xml:space="preserve"> </w:t>
            </w:r>
            <w:r w:rsidRPr="00136D60">
              <w:t xml:space="preserve">zapewnienia osobom </w:t>
            </w:r>
            <w:r>
              <w:br/>
            </w:r>
            <w:r w:rsidRPr="00136D60">
              <w:t>z niepełnosprawnościami możliwości korzystania z wszelkich praw człowieka i podstawowych</w:t>
            </w:r>
            <w:r>
              <w:t xml:space="preserve"> </w:t>
            </w:r>
            <w:r w:rsidRPr="00136D60">
              <w:t>wolności oraz ich wykonywania na zasadzie równości z innymi osobami.</w:t>
            </w:r>
          </w:p>
          <w:p w14:paraId="123559C7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Wskaźnik mierzony w momencie rozliczenia wydatku związanego z racjonalnymi usprawnieniami.</w:t>
            </w:r>
          </w:p>
          <w:p w14:paraId="23C1D1C8" w14:textId="77777777" w:rsidR="00FD69C6" w:rsidRPr="00136D6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Przykłady racjonalnych usprawnień: tłumacz języka migowego, transport niskopodłogowy, dostosowanie</w:t>
            </w:r>
            <w:r>
              <w:t xml:space="preserve"> </w:t>
            </w:r>
            <w:r w:rsidRPr="00136D60">
              <w:t>infrastruktury (nie tylko budynku, ale też dostosowanie infrastruktury komputerowej np. programy powiększające,</w:t>
            </w:r>
            <w:r>
              <w:t xml:space="preserve"> </w:t>
            </w:r>
            <w:r w:rsidRPr="00136D60">
              <w:t xml:space="preserve">mówiące, drukarki materiałów </w:t>
            </w:r>
            <w:r>
              <w:br/>
            </w:r>
            <w:r w:rsidRPr="00136D60">
              <w:t>w alfabecie Braille'a)</w:t>
            </w:r>
            <w:r>
              <w:t xml:space="preserve">, osoby asystujące, odpowiednie </w:t>
            </w:r>
            <w:r w:rsidRPr="00136D60">
              <w:t>dostosowanie wyżywienia.</w:t>
            </w:r>
          </w:p>
          <w:p w14:paraId="5D9998C2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Definicja na podstawie: Wytyczne w zakresie realizacji zasady równości szans i nied</w:t>
            </w:r>
            <w:r>
              <w:t xml:space="preserve">yskryminacji, w tym dostępności </w:t>
            </w:r>
            <w:r w:rsidRPr="00136D60">
              <w:t xml:space="preserve">dla osób </w:t>
            </w:r>
            <w:r>
              <w:br/>
            </w:r>
            <w:r w:rsidRPr="00136D60">
              <w:t xml:space="preserve">z niepełnosprawnościami oraz równości szans kobiet </w:t>
            </w:r>
            <w:r>
              <w:br/>
            </w:r>
            <w:r w:rsidRPr="00136D60">
              <w:t>i mężczyzn w ramach funduszy unijnych na l</w:t>
            </w:r>
            <w:r>
              <w:t>ata 2014-</w:t>
            </w:r>
            <w:r w:rsidRPr="00136D60">
              <w:t>2020.</w:t>
            </w:r>
            <w:r w:rsidRPr="00136D60" w:rsidDel="00997070">
              <w:t xml:space="preserve"> </w:t>
            </w:r>
          </w:p>
          <w:p w14:paraId="56BB541E" w14:textId="359D37E0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67389A74" w14:textId="3762714B" w:rsidR="00FD69C6" w:rsidRPr="007D0710" w:rsidRDefault="007D0710" w:rsidP="007D0710">
            <w:pPr>
              <w:jc w:val="both"/>
              <w:rPr>
                <w:bCs/>
                <w:sz w:val="20"/>
              </w:rPr>
            </w:pPr>
            <w:r w:rsidRPr="007D0710">
              <w:rPr>
                <w:bCs/>
                <w:i/>
                <w:iCs/>
                <w:sz w:val="20"/>
              </w:rPr>
              <w:t>Wyjaśnienie:</w:t>
            </w:r>
            <w:r w:rsidRPr="007D0710">
              <w:rPr>
                <w:bCs/>
                <w:sz w:val="20"/>
              </w:rPr>
              <w:t xml:space="preserve"> Jeśli projekt spełnia kryteria w/w definicji wnioskodawca powinien wykazać wartość „1”, w przeciwnym wypadku „0”. W przypadku projektów partnerskich wskaźnik </w:t>
            </w:r>
            <w:r w:rsidRPr="007D0710">
              <w:rPr>
                <w:bCs/>
                <w:sz w:val="20"/>
              </w:rPr>
              <w:lastRenderedPageBreak/>
              <w:t>powinien być wykazany wyłącznie przez lidera projektu, bez względu na liczbę partnerów  w projekcie realizujących wskaźnik.</w:t>
            </w:r>
          </w:p>
        </w:tc>
      </w:tr>
      <w:tr w:rsidR="00FD69C6" w:rsidRPr="00C93A1D" w14:paraId="080F0CAF" w14:textId="77777777" w:rsidTr="00FD69C6">
        <w:trPr>
          <w:trHeight w:val="521"/>
          <w:jc w:val="center"/>
        </w:trPr>
        <w:tc>
          <w:tcPr>
            <w:tcW w:w="15592" w:type="dxa"/>
            <w:gridSpan w:val="12"/>
            <w:tcBorders>
              <w:top w:val="single" w:sz="12" w:space="0" w:color="92D050"/>
            </w:tcBorders>
            <w:vAlign w:val="center"/>
          </w:tcPr>
          <w:p w14:paraId="144722CF" w14:textId="3D4E97D8" w:rsidR="00FD69C6" w:rsidRPr="00997070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0"/>
              <w:jc w:val="center"/>
              <w:rPr>
                <w:rFonts w:asciiTheme="minorHAnsi" w:hAnsiTheme="minorHAnsi" w:cs="Calibri"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lastRenderedPageBreak/>
              <w:t>Wskaźniki wspólne EFS monitorowane we wszystkich priorytetach</w:t>
            </w:r>
          </w:p>
        </w:tc>
      </w:tr>
      <w:tr w:rsidR="00FD69C6" w:rsidRPr="00C93A1D" w14:paraId="499CEE3F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3B410BFD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494F390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bezrobotnych, w tym</w:t>
            </w:r>
          </w:p>
          <w:p w14:paraId="31509E86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długotrwale bezrobotnych, objętych</w:t>
            </w:r>
          </w:p>
          <w:p w14:paraId="4975AE72" w14:textId="7CDE51E5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2B21478" w14:textId="77F8A883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4C81D41" w14:textId="1965A034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172266" w14:textId="6ABFB30B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E8F9074" w14:textId="5744AA20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4A56D1C" w14:textId="003F7481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Wskaźnik z Ram wykonania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1D653B67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bez pracy, gotowe do podj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cia pracy i aktywnie poszukuj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zatrudnienia. Definicja uwzgl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1843BF">
              <w:rPr>
                <w:rFonts w:cs="Arial"/>
                <w:i/>
                <w:iCs/>
                <w:sz w:val="20"/>
                <w:szCs w:val="20"/>
              </w:rPr>
              <w:t>dnia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 zarejestrowane jako bezrobotne zgodnie z krajowymi definicjami, 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nie spełniaj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1843BF">
              <w:rPr>
                <w:rFonts w:cs="Arial"/>
                <w:i/>
                <w:iCs/>
                <w:sz w:val="20"/>
                <w:szCs w:val="20"/>
              </w:rPr>
              <w:t>one wszystkich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trzech kryteriów.</w:t>
            </w:r>
          </w:p>
          <w:p w14:paraId="4FA49D49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Eurostat dla Polityki Ry</w:t>
            </w:r>
            <w:r w:rsidRPr="001843BF">
              <w:rPr>
                <w:rFonts w:cs="Arial"/>
                <w:sz w:val="20"/>
                <w:szCs w:val="20"/>
              </w:rPr>
              <w:t>nku Pracy. Definicja uwzględnia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zarówno osoby bezrobotne w rozumieniu badania aktywności ekonomiczn</w:t>
            </w:r>
            <w:r w:rsidRPr="001843BF">
              <w:rPr>
                <w:rFonts w:cs="Arial"/>
                <w:sz w:val="20"/>
                <w:szCs w:val="20"/>
              </w:rPr>
              <w:t>ej ludności (BAEL), jak i osoby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zarejestrowane jako bezrobotne.</w:t>
            </w:r>
          </w:p>
          <w:p w14:paraId="7932CA97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zawodowo, naw</w:t>
            </w:r>
            <w:r w:rsidRPr="001843BF">
              <w:rPr>
                <w:rFonts w:cs="Arial"/>
                <w:sz w:val="20"/>
                <w:szCs w:val="20"/>
              </w:rPr>
              <w:t>et jeśli spełniają kryteria dla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bezrobotnych zgodnie z ww. definicją.</w:t>
            </w:r>
          </w:p>
          <w:p w14:paraId="2C92F13A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kwalifikujące się do urlopu macierzyńskiego lub rodzicielskiego, które są bezrobotne w rozumieniu niniejszej</w:t>
            </w:r>
          </w:p>
          <w:p w14:paraId="1C3D06FA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definicji (nie pobierają świadczeń z t</w:t>
            </w:r>
            <w:r w:rsidRPr="001843BF">
              <w:rPr>
                <w:rFonts w:cs="Arial"/>
                <w:sz w:val="20"/>
                <w:szCs w:val="20"/>
              </w:rPr>
              <w:t xml:space="preserve">ytułu urlopu), należy </w:t>
            </w:r>
            <w:r w:rsidRPr="007B76FF">
              <w:rPr>
                <w:rFonts w:cs="Arial"/>
                <w:sz w:val="20"/>
                <w:szCs w:val="20"/>
              </w:rPr>
              <w:t>wykazywać jako osoby bezrobotne.</w:t>
            </w:r>
          </w:p>
          <w:p w14:paraId="6C41748B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ok</w:t>
            </w:r>
            <w:r w:rsidRPr="001843BF">
              <w:rPr>
                <w:rFonts w:cs="Arial"/>
                <w:sz w:val="20"/>
                <w:szCs w:val="20"/>
              </w:rPr>
              <w:t xml:space="preserve">reślany jest w dniu rozpoczęcia </w:t>
            </w:r>
            <w:r w:rsidRPr="007B76FF">
              <w:rPr>
                <w:rFonts w:cs="Arial"/>
                <w:sz w:val="20"/>
                <w:szCs w:val="20"/>
              </w:rPr>
              <w:t>uczestnictwa w projekcie.</w:t>
            </w:r>
          </w:p>
          <w:p w14:paraId="64EF40FC" w14:textId="2620DC87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D69C6">
              <w:rPr>
                <w:rFonts w:cs="Arial"/>
                <w:sz w:val="20"/>
              </w:rPr>
              <w:t>Definicja opracowana na podstawie: Eurostat, baza danych Polityki Rynku Pracy (LMP).</w:t>
            </w:r>
            <w:r w:rsidRPr="00FD69C6" w:rsidDel="00630C04">
              <w:rPr>
                <w:rFonts w:cs="Arial"/>
                <w:iCs/>
                <w:sz w:val="20"/>
              </w:rPr>
              <w:t xml:space="preserve"> </w:t>
            </w:r>
          </w:p>
        </w:tc>
      </w:tr>
      <w:tr w:rsidR="00FD69C6" w:rsidRPr="00C93A1D" w14:paraId="11D871F3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1C3BE999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5B8ED66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długotrwale</w:t>
            </w:r>
          </w:p>
          <w:p w14:paraId="32785166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bezrobotnych objętych wsparciem w</w:t>
            </w:r>
          </w:p>
          <w:p w14:paraId="417D5079" w14:textId="4CD78CBF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F850D24" w14:textId="043F5B4D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E562074" w14:textId="0D9E3945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27DE14" w14:textId="0A07CA8F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97F7A3C" w14:textId="67F29628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A8128E3" w14:textId="60775DF0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rPr>
                <w:rFonts w:cs="Calibri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5E5B9F1F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bezrobotne definiowane są jak we wskaźniku: liczba osób bezrobotnych, </w:t>
            </w:r>
            <w:r w:rsidRPr="001843BF">
              <w:rPr>
                <w:rFonts w:cs="Arial"/>
                <w:sz w:val="20"/>
                <w:szCs w:val="20"/>
              </w:rPr>
              <w:t>w tym długotrwale bezrobotnych,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objętych wsparciem w programie.</w:t>
            </w:r>
          </w:p>
          <w:p w14:paraId="7BF4476B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pojęcia „długotrwale bezrobotny" różni się w zależności od wieku:</w:t>
            </w:r>
          </w:p>
          <w:p w14:paraId="6564C7EF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Młodzież (&lt;25 lat) – osoby bezrobotne nieprzerwanie przez okres ponad 6 miesięcy (&gt;6 miesięcy).</w:t>
            </w:r>
          </w:p>
          <w:p w14:paraId="66570399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Dorośli (25 lat lub więcej) – osoby bezrobotne nieprzerwanie przez okres ponad 12 miesięcy (&gt;12 miesięcy).</w:t>
            </w:r>
          </w:p>
          <w:p w14:paraId="3331F460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1E78E104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Wiek uczestników określany jest na podstawie daty urodzenia i ustalany w dniu rozpoczęcia udziału w projekcie.</w:t>
            </w:r>
          </w:p>
          <w:p w14:paraId="080A652F" w14:textId="1E5D1DA3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(LMP).</w:t>
            </w:r>
            <w:r w:rsidRPr="006559F9" w:rsidDel="00630C0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D69C6" w:rsidRPr="00C93A1D" w14:paraId="6530808F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1EBDF7D6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546BF1E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</w:t>
            </w:r>
          </w:p>
          <w:p w14:paraId="78D987DC" w14:textId="361ED7FD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C3DE8D3" w14:textId="5850C293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E19C1B0" w14:textId="2D456E0D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287160" w14:textId="5B9BAABC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3925434" w14:textId="7DF1C91B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FB5310C" w14:textId="3FBD16B5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6559F9">
              <w:rPr>
                <w:rFonts w:cs="Calibri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541CE802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Bierni zawodowo to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osoby, które w danej chwili nie tworz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zasobów siły roboczej (tzn. nie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nie s</w:t>
            </w:r>
            <w:r w:rsidRPr="001843B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bezrobotne).</w:t>
            </w:r>
          </w:p>
          <w:p w14:paraId="73FD6ECA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osób pracujących jak we wskaźniku: liczba osób pracujących, łączni</w:t>
            </w:r>
            <w:r w:rsidRPr="001843BF">
              <w:rPr>
                <w:rFonts w:cs="Arial"/>
                <w:sz w:val="20"/>
                <w:szCs w:val="20"/>
              </w:rPr>
              <w:t>e z prowadzącymi działalność na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własny rachunek, objętych wsparciem w programie.</w:t>
            </w:r>
          </w:p>
          <w:p w14:paraId="5C9021F5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osoby bezrobotnej tak jak we wskaźniku: liczba osób bezrobotnych, w tym</w:t>
            </w:r>
            <w:r w:rsidRPr="001843BF">
              <w:rPr>
                <w:rFonts w:cs="Arial"/>
                <w:sz w:val="20"/>
                <w:szCs w:val="20"/>
              </w:rPr>
              <w:t xml:space="preserve"> długotrwale bezrobotnych,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objętych wsparciem.</w:t>
            </w:r>
          </w:p>
          <w:p w14:paraId="2073A778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zawodowo.</w:t>
            </w:r>
          </w:p>
          <w:p w14:paraId="0FEC7CEA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Osoby bę</w:t>
            </w:r>
            <w:r w:rsidRPr="007B76FF">
              <w:rPr>
                <w:rFonts w:cs="Arial"/>
                <w:sz w:val="20"/>
                <w:szCs w:val="20"/>
              </w:rPr>
              <w:t>dące na urlopie wychowawczym (rozumianym jako nieobecność w pracy, spowodowana opieką nad</w:t>
            </w:r>
          </w:p>
          <w:p w14:paraId="7E80DA12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dzieckiem w okresie, który nie mieści się w ramach urlopu macierzyńskiego lub urlop</w:t>
            </w:r>
            <w:r w:rsidRPr="001843BF">
              <w:rPr>
                <w:rFonts w:cs="Arial"/>
                <w:sz w:val="20"/>
                <w:szCs w:val="20"/>
              </w:rPr>
              <w:t>u rodzicielskiego), uznawane są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za bierne zawodowo, chyba że są zarejestrowane już jako bezrobotne </w:t>
            </w:r>
            <w:r w:rsidRPr="001843BF">
              <w:rPr>
                <w:rFonts w:cs="Arial"/>
                <w:sz w:val="20"/>
                <w:szCs w:val="20"/>
              </w:rPr>
              <w:t>(wówczas status bezrobotnego ma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pierwszeństwo).</w:t>
            </w:r>
          </w:p>
          <w:p w14:paraId="303AE62B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prowadzące działalność na własny rachunek (w tym bezpłatnie pomagający osobie prowadzącej działalność</w:t>
            </w:r>
          </w:p>
          <w:p w14:paraId="5E9CBC63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członek rodziny) nie są uznawane za bierne zawodowo.</w:t>
            </w:r>
          </w:p>
          <w:p w14:paraId="3DF407B8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38FE8D30" w14:textId="187B4EFE" w:rsidR="00FD69C6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</w:t>
            </w:r>
            <w:r w:rsidRPr="001843BF">
              <w:rPr>
                <w:rFonts w:cs="Arial"/>
                <w:sz w:val="20"/>
                <w:szCs w:val="20"/>
              </w:rPr>
              <w:t>P). Sformułowania zapisane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51DB0">
              <w:rPr>
                <w:rFonts w:cs="Arial"/>
                <w:sz w:val="20"/>
                <w:szCs w:val="20"/>
              </w:rPr>
              <w:t xml:space="preserve">kursywą są </w:t>
            </w:r>
            <w:r w:rsidRPr="007B76FF">
              <w:rPr>
                <w:rFonts w:cs="Arial"/>
                <w:sz w:val="20"/>
                <w:szCs w:val="20"/>
              </w:rPr>
              <w:t>identyczne z definicją Eurostatu</w:t>
            </w:r>
            <w:r>
              <w:rPr>
                <w:rFonts w:cs="Arial"/>
                <w:sz w:val="20"/>
                <w:szCs w:val="20"/>
              </w:rPr>
              <w:t>.</w:t>
            </w:r>
            <w:r w:rsidRPr="006559F9" w:rsidDel="00630C04">
              <w:rPr>
                <w:rFonts w:cs="Calibri"/>
                <w:sz w:val="20"/>
                <w:szCs w:val="20"/>
              </w:rPr>
              <w:t xml:space="preserve"> </w:t>
            </w:r>
          </w:p>
          <w:p w14:paraId="55277140" w14:textId="55D8EAF2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D69C6" w:rsidRPr="00C93A1D" w14:paraId="03237533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7DEA4F2D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DBA1C3A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zawodowo,</w:t>
            </w:r>
          </w:p>
          <w:p w14:paraId="67D9E6DD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nieuczestniczących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20EC67E3" w14:textId="2D7A87A0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szkoleniu, 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85A30BB" w14:textId="50B1C8B6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70C316E" w14:textId="4F6DC1D0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D104FB" w14:textId="40B11E48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2B8D79F" w14:textId="65E38233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834985A" w14:textId="6406DAC2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rPr>
                <w:rFonts w:cs="Arial"/>
                <w:b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76032475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bierne zawodowo definiowane są jak we wskaźniku: liczba osób biernyc</w:t>
            </w:r>
            <w:r w:rsidRPr="001843BF">
              <w:rPr>
                <w:rFonts w:cs="Arial"/>
                <w:sz w:val="20"/>
                <w:szCs w:val="20"/>
              </w:rPr>
              <w:t>h zawodowo objętych wsparciem 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programie.</w:t>
            </w:r>
          </w:p>
          <w:p w14:paraId="719A907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We wskaźniku należy wykazać osoby bierne zawodowo, które nie uczestniczą w kształceniu lub szkoleniu.</w:t>
            </w:r>
          </w:p>
          <w:p w14:paraId="64C560E7" w14:textId="51A61281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D69C6">
              <w:rPr>
                <w:rFonts w:cs="Arial"/>
                <w:sz w:val="20"/>
              </w:rPr>
              <w:t>Status na rynku pracy jest określany w dniu rozpoczęcia uczestnictwa w projekcie.</w:t>
            </w:r>
            <w:r w:rsidRPr="00FD69C6" w:rsidDel="00630C04">
              <w:rPr>
                <w:rFonts w:cs="Arial"/>
                <w:sz w:val="20"/>
              </w:rPr>
              <w:t xml:space="preserve"> </w:t>
            </w:r>
          </w:p>
        </w:tc>
      </w:tr>
      <w:tr w:rsidR="00FD69C6" w:rsidRPr="00C93A1D" w14:paraId="1AC77CB9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009426BC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B20CBE2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pracujących, łącznie </w:t>
            </w:r>
            <w:r w:rsidRPr="00844061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prowadzącymi działalność na własny</w:t>
            </w:r>
          </w:p>
          <w:p w14:paraId="4E9EB052" w14:textId="643A81F4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rachunek, objętych wsparciem 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w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8DF1235" w14:textId="33985A5D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0CA4714" w14:textId="76CF6AC3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15C393" w14:textId="0E3FB7E6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CFCBB2B" w14:textId="3D7EAC2D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6A50F27" w14:textId="3FA007F9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795EBC30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Pracujący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to osoby w wieku 15 lat i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cej, które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za któr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otrzymuj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wynagrodzenie, z której czerpi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zyski lub korzy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rodzinne lub osoby posiadaj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zatrudnienie lub własn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które jednak chwilowo nie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pracowały ze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np. chorob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urlop, spór pracowniczy czy kształcenie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szkolenie.</w:t>
            </w:r>
          </w:p>
          <w:p w14:paraId="42666A62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 własny rachunek –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1843BF">
              <w:rPr>
                <w:rFonts w:cs="Arial"/>
                <w:i/>
                <w:iCs/>
                <w:sz w:val="20"/>
                <w:szCs w:val="20"/>
              </w:rPr>
              <w:t>, gospodarstwo rolne lub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-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uznawane za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 ile spełniony jest jeden z poni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szych warunków:</w:t>
            </w:r>
          </w:p>
          <w:p w14:paraId="6E0C0FA2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1) Osoba pracuje w swojej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ci, praktyce zawodowej lub gospodarstwie r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olnym w celu uzyskania dochodu,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biorstwo nie osi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ga zysków.</w:t>
            </w:r>
          </w:p>
          <w:p w14:paraId="5FC0B87B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Definicja określona na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843BF">
              <w:rPr>
                <w:rFonts w:cs="Arial"/>
                <w:sz w:val="20"/>
                <w:szCs w:val="20"/>
              </w:rPr>
              <w:t>podstawie Wytycznych KE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dot</w:t>
            </w:r>
            <w:r>
              <w:rPr>
                <w:rFonts w:cs="Arial"/>
                <w:sz w:val="20"/>
                <w:szCs w:val="20"/>
              </w:rPr>
              <w:t>. monitorowania i</w:t>
            </w:r>
            <w:r w:rsidRP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ewaluacji EFS 2014-2020</w:t>
            </w:r>
          </w:p>
          <w:p w14:paraId="7F721F9F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2) Osoba 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ca czas na prowadzenie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gospodarczej, praktyki zawo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dowej czy gospodarstwa rolnego,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eli nie zrealizowano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adnej sprzeda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lub usług i nic nie wyprodukowano (na przykład: rolnik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cy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prace w celu utrzymania swojego gospodarstwa; architekt sp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cy czas w 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oczekiwaniu na klientów w swoim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biurze; rybak naprawiaj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łódk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czy siatki rybackie, aby móc dalej pracowa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; osoby 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ce w konwencjach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seminariach).</w:t>
            </w:r>
          </w:p>
          <w:p w14:paraId="583407E7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3) Osoba jest w trakcie zakładania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ci gospodarczej, gospodarstwa rolnego 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lub praktyki zawodowej; zalicza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tego zakup lub instalacj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sprz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tu, zamawianie towarów w ramach przygotowa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ń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uruchomienia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ci.</w:t>
            </w:r>
          </w:p>
          <w:p w14:paraId="5F200D8C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Bezpłatnie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członek rodziny uznawany jest za osob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wykonywan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siebie prac</w:t>
            </w:r>
            <w:r w:rsidRPr="00B51DB0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wnosi bezpo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 wkład w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gospodarstwo rolne lub 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posiadaniu lub prowadzon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spokrewnionego członka tego samego gospodarstwa domowego.</w:t>
            </w:r>
          </w:p>
          <w:p w14:paraId="6BB48B86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badania aktywności ekonomicznej ludności (LFS).</w:t>
            </w:r>
          </w:p>
          <w:p w14:paraId="08598174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Bezpłatnie pomagający osobie prowadzącej działalność członek rodziny uzn</w:t>
            </w:r>
            <w:r w:rsidRPr="00B51DB0">
              <w:rPr>
                <w:rFonts w:cs="Arial"/>
                <w:sz w:val="20"/>
                <w:szCs w:val="20"/>
              </w:rPr>
              <w:t>awany jest za „osobę prowadzącą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działalność na własny rachunek”.</w:t>
            </w:r>
          </w:p>
          <w:p w14:paraId="6CC7F6A9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Żołnierze poborowi, którzy wykonywali określoną pracę, za którą otrzymywali wynagr</w:t>
            </w:r>
            <w:r w:rsidRPr="00B51DB0">
              <w:rPr>
                <w:rFonts w:cs="Arial"/>
                <w:sz w:val="20"/>
                <w:szCs w:val="20"/>
              </w:rPr>
              <w:t>odzenie lub innego rodzaju zysk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 czasie tygodnia odniesienia nie są uznawani za "osoby pracujące".</w:t>
            </w:r>
          </w:p>
          <w:p w14:paraId="4E4EA216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przebywające na urlopie macierzyńskim/ rodzicielskim (rozumianym jako świadcze</w:t>
            </w:r>
            <w:r w:rsidRPr="00B51DB0">
              <w:rPr>
                <w:rFonts w:cs="Arial"/>
                <w:sz w:val="20"/>
                <w:szCs w:val="20"/>
              </w:rPr>
              <w:t>nie pracownicze, który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zapewnia płatny lub bezpłatny czas wolny od pracy do momentu porodu i obej</w:t>
            </w:r>
            <w:r w:rsidRPr="00B51DB0">
              <w:rPr>
                <w:rFonts w:cs="Arial"/>
                <w:sz w:val="20"/>
                <w:szCs w:val="20"/>
              </w:rPr>
              <w:t>muje późniejszą krótkoterminową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opiekę nad dzieckiem) są uznawane za „osoby pracujące”.</w:t>
            </w:r>
          </w:p>
          <w:p w14:paraId="39AD0706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przebywające na urlopie wychowawczym (rozumianym jako nieobecność </w:t>
            </w:r>
            <w:r w:rsidRPr="00B51DB0">
              <w:rPr>
                <w:rFonts w:cs="Arial"/>
                <w:sz w:val="20"/>
                <w:szCs w:val="20"/>
              </w:rPr>
              <w:t>w pracy, spowodowaną opieką nad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dzieckiem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w okresie, który nie mieści się w ramach urlopu macierzyńskiego lub </w:t>
            </w:r>
            <w:r w:rsidRPr="00B51DB0">
              <w:rPr>
                <w:rFonts w:cs="Arial"/>
                <w:sz w:val="20"/>
                <w:szCs w:val="20"/>
              </w:rPr>
              <w:t>rodzicielskiego) są uznawane za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„osoby bierne zawodowo”, chyba że są zarejestrowane już jako „osoby bezrobotn</w:t>
            </w:r>
            <w:r w:rsidRPr="00B51DB0">
              <w:rPr>
                <w:rFonts w:cs="Arial"/>
                <w:sz w:val="20"/>
                <w:szCs w:val="20"/>
              </w:rPr>
              <w:t>e” (wówczas status bezrobotnego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ma pierwszeństwo).</w:t>
            </w:r>
          </w:p>
          <w:p w14:paraId="3DF353A3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„Zatrudnienie subsydiowane” jest uznawane za "zatrudnienie”. Należy je rozumi</w:t>
            </w:r>
            <w:r w:rsidRPr="00B51DB0">
              <w:rPr>
                <w:rFonts w:cs="Arial"/>
                <w:sz w:val="20"/>
                <w:szCs w:val="20"/>
              </w:rPr>
              <w:t>eć jako zachętę do zatrudnienia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zgodnie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z definicjami Polityki Rynku Pracy (LMP):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obejmuj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 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rodki, które ułatwiaj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rekrutacj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osób bezrobotnych </w:t>
            </w:r>
            <w:r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innych grup docelowych lub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zapewni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gło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 osób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nara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onych na przymusowe zwolnienie z pracy.</w:t>
            </w:r>
          </w:p>
          <w:p w14:paraId="3ADC619E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odnosz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subsydiowania miejsc pracy na otwartym rynku prac,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istnie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lub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zosta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stworzone bez dotacji publicznych i które, jak nale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nadziej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utrzymaj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 okresie subsydiowania.</w:t>
            </w:r>
          </w:p>
          <w:p w14:paraId="3399B63A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subsydiowane, dotycz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zwykle sektora prywatnego, ale do uzyskania wsparcia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kwalifikuj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 z sektora publicznego i instytucji niekomercyjnych, przy czym rozró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nienie nie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jest wymagane.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 publiczne w postaci 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 w zakresie zatrudnienia 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swój udział w kosztach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zatrudnienia, przy czym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kosztów nadal ponosi pracodawca. Nie wyklucza to jednak przypadków,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kiedy wszystkie koszty pracy pokrywane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lony czas ze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rodków publicznych.</w:t>
            </w:r>
          </w:p>
          <w:p w14:paraId="2AF0A204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http://eur-lex.europa.eu/LexUriServ/LexUriServ.do?uri=CELEX:32003H0361:EN:HTML</w:t>
            </w:r>
          </w:p>
          <w:p w14:paraId="6C845036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badanie aktywności ekonomicznej ludności (BAEL).</w:t>
            </w:r>
          </w:p>
          <w:p w14:paraId="25431D4B" w14:textId="2B0622E0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D69C6">
              <w:rPr>
                <w:rFonts w:cs="Arial"/>
                <w:sz w:val="20"/>
              </w:rPr>
              <w:t>Status na rynku pracy jest określany w dniu rozpoczęcia uczestnictwa w projekcie.</w:t>
            </w:r>
            <w:r w:rsidRPr="00FD69C6" w:rsidDel="00630C04">
              <w:rPr>
                <w:sz w:val="20"/>
              </w:rPr>
              <w:t xml:space="preserve"> </w:t>
            </w:r>
          </w:p>
        </w:tc>
      </w:tr>
      <w:tr w:rsidR="00FD69C6" w:rsidRPr="00C93A1D" w14:paraId="10D9D49D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3CE21A4E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574BD93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poniżej 25 lat objętych</w:t>
            </w:r>
          </w:p>
          <w:p w14:paraId="491802B2" w14:textId="0A996DD9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92C30C5" w14:textId="3B17CF36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F57C1B1" w14:textId="1B7518FF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4AE921F" w14:textId="764CA1F6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8287B9E" w14:textId="74EE4476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41B1366" w14:textId="73C56ADC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77A16DD5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mierzy liczbę wszystkich uczestników projektu w wieku poniżej 25 lat objętych wsparciem w programie.</w:t>
            </w:r>
          </w:p>
          <w:p w14:paraId="6DC3EFF7" w14:textId="06FF8496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D69C6">
              <w:rPr>
                <w:rFonts w:cs="Arial"/>
                <w:sz w:val="20"/>
              </w:rPr>
              <w:t xml:space="preserve">Wiek uczestników określany jest na podstawie daty urodzenia </w:t>
            </w:r>
            <w:r w:rsidRPr="00FD69C6">
              <w:rPr>
                <w:rFonts w:cs="Arial"/>
                <w:sz w:val="20"/>
              </w:rPr>
              <w:br/>
              <w:t>i ustalany w dniu rozpoczęcia udziału w projekcie.</w:t>
            </w:r>
            <w:r w:rsidRPr="00FD69C6" w:rsidDel="00630C04">
              <w:rPr>
                <w:sz w:val="20"/>
              </w:rPr>
              <w:t xml:space="preserve"> </w:t>
            </w:r>
          </w:p>
        </w:tc>
      </w:tr>
      <w:tr w:rsidR="00FD69C6" w:rsidRPr="00C93A1D" w14:paraId="1815C4C4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41446DAB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38E19E1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powyżej 54 lat objętych</w:t>
            </w:r>
          </w:p>
          <w:p w14:paraId="79301A00" w14:textId="4D8386BB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5626CE2" w14:textId="49D4A467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BF7EFBE" w14:textId="7DB3CF8B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B53D78" w14:textId="762DF650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103D85F" w14:textId="5C4F4DC7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B907BB1" w14:textId="6967A8BA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48C0D4D1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mierzy liczbę osób w wieku powyżej 54 lat objętych wsparciem w programie.</w:t>
            </w:r>
          </w:p>
          <w:p w14:paraId="00E62493" w14:textId="28B12953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D69C6">
              <w:rPr>
                <w:rFonts w:cs="Arial"/>
                <w:sz w:val="20"/>
              </w:rPr>
              <w:t xml:space="preserve">Wiek uczestników określany jest na podstawie daty urodzenia </w:t>
            </w:r>
            <w:r w:rsidRPr="00FD69C6">
              <w:rPr>
                <w:rFonts w:cs="Arial"/>
                <w:sz w:val="20"/>
              </w:rPr>
              <w:br/>
              <w:t>i ustalany w dniu rozpoczęcia udziału w projekcie.</w:t>
            </w:r>
            <w:r w:rsidRPr="00FD69C6" w:rsidDel="00630C04">
              <w:rPr>
                <w:sz w:val="20"/>
              </w:rPr>
              <w:t xml:space="preserve"> </w:t>
            </w:r>
          </w:p>
        </w:tc>
      </w:tr>
      <w:tr w:rsidR="00FD69C6" w:rsidRPr="00C93A1D" w14:paraId="6FAF5F53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5B26CC36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F8B0F00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</w:t>
            </w:r>
            <w:r w:rsidRPr="00844061">
              <w:rPr>
                <w:rFonts w:cs="Arial"/>
                <w:i/>
                <w:sz w:val="20"/>
                <w:szCs w:val="20"/>
              </w:rPr>
              <w:t>a osób powyżej 54 lat, które są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bezrobotne, łącznie z długotrwale</w:t>
            </w:r>
          </w:p>
          <w:p w14:paraId="04CB2F2C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bezr</w:t>
            </w:r>
            <w:r w:rsidRPr="00844061">
              <w:rPr>
                <w:rFonts w:cs="Arial"/>
                <w:i/>
                <w:sz w:val="20"/>
                <w:szCs w:val="20"/>
              </w:rPr>
              <w:t xml:space="preserve">obotnymi, lub bierne zawodowo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i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nie uczestniczą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7A750AFC" w14:textId="01DD58FF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szkoleniu 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7334E72" w14:textId="23ABCFFB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65550A5" w14:textId="1156A382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2038CB5" w14:textId="43CB7C1B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D39A929" w14:textId="7064F564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81B6695" w14:textId="6C26F882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2E1884BF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We wskaźniku należy wykazać osoby bezrobotne łącznie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długotrwale bezrobotnymi oraz bierne zawodowo w wieku</w:t>
            </w:r>
          </w:p>
          <w:p w14:paraId="7DA94E0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powyżej 54 lat, które nie uczestniczą w kształceniu lub szkoleniu.</w:t>
            </w:r>
          </w:p>
          <w:p w14:paraId="6324518A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w wieku powyżej 54 lat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w wieku powy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ej 54 lat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tych wsparciem w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03590F0D" w14:textId="77777777" w:rsidR="00FD69C6" w:rsidRPr="00A15978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bezrobotnych łącznie z długotrwale bezrobotnymi jak we wskaźniku: 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liczba osób bezrobotnych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(ł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cznie z długotrwale bezrobotnymi)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0AA31921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bierne zawodowo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 zawodowo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tych wsparciem w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2E07AB54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nieuczestniczące w kształceniu lub szkoleniu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zawodowo,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 w kształceniu lub szkoleniu,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6E3B300D" w14:textId="77449306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D69C6">
              <w:rPr>
                <w:rFonts w:cs="Arial"/>
                <w:sz w:val="20"/>
              </w:rPr>
              <w:t>Status na rynku pracy jest określany w dniu rozpoczęcia uczestnictwa w projekcie.</w:t>
            </w:r>
          </w:p>
        </w:tc>
      </w:tr>
      <w:tr w:rsidR="00FD69C6" w:rsidRPr="00C93A1D" w14:paraId="33F8FC7D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4994B303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CC94165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6FDE8F0A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podstawowym lub gimnazjalnym</w:t>
            </w:r>
          </w:p>
          <w:p w14:paraId="68A467A2" w14:textId="48225A2F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tych wsparciem </w:t>
            </w:r>
            <w:r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w 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0628A120" w14:textId="68EA981C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FB9F1FC" w14:textId="0ADA5E9D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853493" w14:textId="766C6AD9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03ED80C" w14:textId="384C016A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5F32CE2" w14:textId="56DF1FA4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48CDB224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Stopień uzyskanego wykształcenia jest określany w dniu rozpoczęcia uczestnictwa w projekcie.</w:t>
            </w:r>
          </w:p>
          <w:p w14:paraId="1637E792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Wykształcenie PODSTAWOWE – programy w ramach poziomu ISCED 1 (Międzynarodowa Standardowa</w:t>
            </w:r>
          </w:p>
          <w:p w14:paraId="2C117A5B" w14:textId="59AC9883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Klasyfikacja Kształcenia) – wykształcenie podstawowe –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ma na celu przekazywanie uczniom podstawowych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w zakresie czytania, pisania i matematyki (tj. 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czytani</w:t>
            </w:r>
            <w:r w:rsidRPr="00334F83">
              <w:rPr>
                <w:rFonts w:cs="Arial"/>
                <w:i/>
                <w:iCs/>
                <w:sz w:val="20"/>
                <w:szCs w:val="20"/>
              </w:rPr>
              <w:t>a i pisania oraz liczenia) oraz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wyrobienie solidnej podstawy do uczenia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="00917D52"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rozumienia kluczowych obszarów wiedzy, rozwoju osobistego i</w:t>
            </w:r>
            <w:r w:rsidR="00917D52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społecznego, jak 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przygotowania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do kształcenia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redniego I sto</w:t>
            </w:r>
            <w:r w:rsidRPr="00334F83">
              <w:rPr>
                <w:rFonts w:cs="Arial"/>
                <w:i/>
                <w:iCs/>
                <w:sz w:val="20"/>
                <w:szCs w:val="20"/>
              </w:rPr>
              <w:t>pnia. Dotyczy nauki na poziomie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podstawowym, bez specjalizacji lub ze specjalizacj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 niewielkim stopniu. Jedynym warunkiem przyj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334F83">
              <w:rPr>
                <w:rFonts w:cs="Arial"/>
                <w:i/>
                <w:iCs/>
                <w:sz w:val="20"/>
                <w:szCs w:val="20"/>
              </w:rPr>
              <w:t>cia na ten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poziom kształcenia jest z reguły wiek. Zwyczajowo i zgodnie z prawem, osoby przyst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334F83">
              <w:rPr>
                <w:rFonts w:cs="Arial"/>
                <w:i/>
                <w:iCs/>
                <w:sz w:val="20"/>
                <w:szCs w:val="20"/>
              </w:rPr>
              <w:t>ce do nauki na tym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poziomie nie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mniej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6 i nie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7 lat.</w:t>
            </w:r>
          </w:p>
          <w:p w14:paraId="358FBC9E" w14:textId="77777777" w:rsidR="00FD69C6" w:rsidRPr="00A15978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Wykształcenie GIMNAZJALNE - programy w ramach poziomu ISCED 2 (Międzyna</w:t>
            </w:r>
            <w:r w:rsidRPr="00334F83">
              <w:rPr>
                <w:rFonts w:cs="Arial"/>
                <w:sz w:val="20"/>
                <w:szCs w:val="20"/>
              </w:rPr>
              <w:t>rodowa Standardowa Klasyfikacja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Kształcenia) – wykształcenie gimnazjalne -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słu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rozwojowi 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nabytych na poziomie ISCED 1. Celem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edukacyjnym w tym zakresie jest stworzenie fundamentów do rozwoju uczenia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przez całe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ycie, które systemy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edukacji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rozszerza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 dalsze mo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liwo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kształcenia. Programy nauczania na tym poziomie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zazwyczaj </w:t>
            </w:r>
            <w:r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kszym stopniu ukierunkowane na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lone przedmioty, wprowadzaj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 poj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334F83">
              <w:rPr>
                <w:rFonts w:cs="Arial"/>
                <w:i/>
                <w:iCs/>
                <w:sz w:val="20"/>
                <w:szCs w:val="20"/>
              </w:rPr>
              <w:t>cia teoretyczne do szerokiego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zakresu 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tematycznych. </w:t>
            </w:r>
            <w:r w:rsidRPr="007B76FF">
              <w:rPr>
                <w:rFonts w:cs="Arial"/>
                <w:sz w:val="20"/>
                <w:szCs w:val="20"/>
              </w:rPr>
              <w:t xml:space="preserve">Nauka na poziomie gimnazjum rozpoczyna się po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6 latach od poziomu ISCED 1.</w:t>
            </w:r>
          </w:p>
          <w:p w14:paraId="6643BEC8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Uczniowie przystępują do nauki </w:t>
            </w:r>
            <w:r>
              <w:rPr>
                <w:rFonts w:cs="Arial"/>
                <w:sz w:val="20"/>
                <w:szCs w:val="20"/>
              </w:rPr>
              <w:t>na poziomie gimnazjum są zwykle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pomiędzy 12 a 13 rokiem życia.</w:t>
            </w:r>
          </w:p>
          <w:p w14:paraId="4FFAE023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</w:t>
            </w:r>
            <w:r>
              <w:rPr>
                <w:rFonts w:cs="Arial"/>
                <w:sz w:val="20"/>
                <w:szCs w:val="20"/>
              </w:rPr>
              <w:t xml:space="preserve">rsywą są identyczne z definicją </w:t>
            </w:r>
            <w:r w:rsidRPr="007B76FF">
              <w:rPr>
                <w:rFonts w:cs="Arial"/>
                <w:sz w:val="20"/>
                <w:szCs w:val="20"/>
              </w:rPr>
              <w:t>UNESCO. Osoby przystępujące do projektu należy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wykazać tylko raz uwzględniając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najwy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ż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szy 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czony poziom ISCED, z wyj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ą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tkiem uczestników, którzy nie</w:t>
            </w:r>
          </w:p>
          <w:p w14:paraId="6675849E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B76FF">
              <w:rPr>
                <w:rFonts w:cs="Arial"/>
                <w:b/>
                <w:bCs/>
                <w:sz w:val="20"/>
                <w:szCs w:val="20"/>
              </w:rPr>
              <w:t>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czyli jeszcze poziomu ISCED 1 i 2, ale s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nadal w przyj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ę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tym w kraju zwyczajowo lub prawnie wieku</w:t>
            </w:r>
          </w:p>
          <w:p w14:paraId="456D7C70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B76FF">
              <w:rPr>
                <w:rFonts w:cs="Arial"/>
                <w:b/>
                <w:bCs/>
                <w:sz w:val="20"/>
                <w:szCs w:val="20"/>
              </w:rPr>
              <w:t>obowi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ą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zku szkolnego.</w:t>
            </w:r>
          </w:p>
          <w:p w14:paraId="144BA2C4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ISCED 2011 (UNESCO)</w:t>
            </w:r>
          </w:p>
          <w:p w14:paraId="1D0DC2DB" w14:textId="34AFF705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rFonts w:cs="Arial"/>
                <w:sz w:val="20"/>
              </w:rPr>
              <w:t>http://www.uis.unesco.org/Education/Documents/UNESCO_GC_36C-19_ISCED_EN.pdf</w:t>
            </w:r>
          </w:p>
        </w:tc>
      </w:tr>
      <w:tr w:rsidR="00FD69C6" w:rsidRPr="00C93A1D" w14:paraId="18F3A58B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0D9A7242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DA44F09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0378EC68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ponadgimnazjalnym lub</w:t>
            </w:r>
          </w:p>
          <w:p w14:paraId="511206FB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policealnym 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tych wsparciem</w:t>
            </w:r>
          </w:p>
          <w:p w14:paraId="791E117C" w14:textId="3BA2A3AD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w 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191B524" w14:textId="696DEB2D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DDED98E" w14:textId="38E41A8E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4CEE43" w14:textId="21DB8112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75D335D" w14:textId="7CF34DF3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D886B5F" w14:textId="1D026F3F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172830E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Stopień uzyskanego wykształcenia jest określany w dniu rozpoczęcia uczestnictwa w projekcie.</w:t>
            </w:r>
          </w:p>
          <w:p w14:paraId="211A6849" w14:textId="77777777" w:rsidR="00FD69C6" w:rsidRPr="00334F83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 wykształcenie ponadgimnazjalne (poziom ISCED 3) : ma na celu uzupełn</w:t>
            </w:r>
            <w:r w:rsidRPr="00334F83">
              <w:rPr>
                <w:rFonts w:asciiTheme="minorHAnsi" w:hAnsiTheme="minorHAnsi"/>
              </w:rPr>
              <w:t xml:space="preserve">ienie wykształcenia średniego </w:t>
            </w:r>
            <w:r>
              <w:rPr>
                <w:rFonts w:asciiTheme="minorHAnsi" w:hAnsiTheme="minorHAnsi"/>
              </w:rPr>
              <w:t xml:space="preserve">i </w:t>
            </w:r>
            <w:r w:rsidRPr="00334F83">
              <w:rPr>
                <w:rFonts w:asciiTheme="minorHAnsi" w:hAnsiTheme="minorHAnsi"/>
              </w:rPr>
              <w:t>przygotowanie do podjęcia studiów wyższych lub umożliwienie osobom uczącym się nabycia umiejętności istotnych</w:t>
            </w:r>
            <w:r>
              <w:rPr>
                <w:rFonts w:asciiTheme="minorHAnsi" w:hAnsiTheme="minorHAnsi"/>
              </w:rPr>
              <w:t xml:space="preserve"> </w:t>
            </w:r>
            <w:r w:rsidRPr="00334F83">
              <w:rPr>
                <w:rFonts w:asciiTheme="minorHAnsi" w:hAnsiTheme="minorHAnsi"/>
              </w:rPr>
              <w:t>dla podjęcia zatrudnienia. Uczniowie przystępują do nauki na tym poziomie zwykle pomiędzy 15 a 16 rokiem życia.</w:t>
            </w:r>
          </w:p>
          <w:p w14:paraId="0D1F74D7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Programy na poziomie ISCED 3 z reguły kończą się 12 lub 13 lat po rozpoczęciu nauki na poziomie ISCED 1 (lub</w:t>
            </w:r>
          </w:p>
          <w:p w14:paraId="0AD2238E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mniej więcej w wieku 18 lat), przy czym najczęściej jest to okres 12 lat.</w:t>
            </w:r>
          </w:p>
          <w:p w14:paraId="3AAAA656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 wykształcenie policealne (poziom ISCED 4) : ma na celu umożliwienie uczącym się zdobycia wiedzy,</w:t>
            </w:r>
            <w:r>
              <w:rPr>
                <w:rFonts w:asciiTheme="minorHAnsi" w:hAnsiTheme="minorHAnsi"/>
              </w:rPr>
              <w:t xml:space="preserve"> </w:t>
            </w:r>
            <w:r w:rsidRPr="00334F83">
              <w:rPr>
                <w:rFonts w:asciiTheme="minorHAnsi" w:hAnsiTheme="minorHAnsi"/>
              </w:rPr>
              <w:t>umiejętności</w:t>
            </w:r>
            <w:r>
              <w:rPr>
                <w:rFonts w:asciiTheme="minorHAnsi" w:hAnsiTheme="minorHAnsi"/>
              </w:rPr>
              <w:br/>
            </w:r>
            <w:r w:rsidRPr="00334F83">
              <w:rPr>
                <w:rFonts w:asciiTheme="minorHAnsi" w:hAnsiTheme="minorHAnsi"/>
              </w:rPr>
              <w:t>i kompetencji na poziomie niższym od poziomu studiów wyższych. Programy na poziomie ISCED 4 -poziom policealny – są opracowane tak, aby zapewnić osobom, które ukończyły naukę na poziomie ISCED 3,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zdobycie kwalifikacji niezbędnych do kontynuowania nauki na studiach wyższych lub do podjęcia pracy, jeżeli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kwalifikacje nabyte przez nich na poziomie ISCED 3 tego nie umożliwiają. Biorąc pod uwagę kompleksowość treści,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programy na poziomie ISCED 4 nie mogą być uznawane za programy kształcenia wyższego, chociaż</w:t>
            </w:r>
          </w:p>
          <w:p w14:paraId="3FBC05B9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zdecydowanie odnoszą się do nauczania na poziomie policealnym. Ukończenie p</w:t>
            </w:r>
            <w:r>
              <w:rPr>
                <w:rFonts w:asciiTheme="minorHAnsi" w:hAnsiTheme="minorHAnsi"/>
              </w:rPr>
              <w:t xml:space="preserve">rogramu na poziomie ISCED 3 jest </w:t>
            </w:r>
            <w:r w:rsidRPr="007B76FF">
              <w:rPr>
                <w:rFonts w:asciiTheme="minorHAnsi" w:hAnsiTheme="minorHAnsi"/>
              </w:rPr>
              <w:t>warunkiem przystąpienia do programów na poziomie ISCED 4. Programy nauczania na tym poziomie przygotowują</w:t>
            </w:r>
          </w:p>
          <w:p w14:paraId="2B346F83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do bezpośredniego wejścia na rynek pracy. Niektóre systemy edukacji oferują na tym poziomie programy ogólne.</w:t>
            </w:r>
          </w:p>
          <w:p w14:paraId="15A6BE3F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przystępujące do projektu należy wykazać tylko raz uwzględniając najwyższy ukończony poziom ISCED.</w:t>
            </w:r>
          </w:p>
          <w:p w14:paraId="38DD3F91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Definicje na podstawie: ISCED 2011 (UNESCO)</w:t>
            </w:r>
          </w:p>
          <w:p w14:paraId="758C0DA0" w14:textId="1ADC7EDC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sz w:val="20"/>
              </w:rPr>
              <w:t>http://www.uis.unesco.org/Education/Documents/UNESCO_GC_36C-19_ISCED_EN.pdf</w:t>
            </w:r>
          </w:p>
        </w:tc>
      </w:tr>
      <w:tr w:rsidR="00FD69C6" w:rsidRPr="00C93A1D" w14:paraId="425CF212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1BDBE9FD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7FB87F4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5EAC5172" w14:textId="279B60CD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wy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ż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szym 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tych wsparciem </w:t>
            </w:r>
            <w:r>
              <w:rPr>
                <w:rFonts w:cs="Arial"/>
                <w:bCs/>
                <w:i/>
                <w:sz w:val="20"/>
                <w:szCs w:val="20"/>
              </w:rPr>
              <w:br/>
              <w:t xml:space="preserve">w 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3BD67A5" w14:textId="0EDD650D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43DE7A0" w14:textId="5E7A6FA0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5EBD84A" w14:textId="1A19270B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3D56FB1" w14:textId="51FB8346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E2AA6DB" w14:textId="38E7E9B3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168B56B9" w14:textId="049C9800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Stopień uzyskanego wykształcenia jest określany w dniu rozpoczęcia uczestnictwa w projekcie. Wskaźnik mierzy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liczbę osób z wykształceniem wyższym (poziom ISCED 5-8) zgodnie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Międzynarodową Standardową Klasyfikacją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Kształcenia:</w:t>
            </w:r>
          </w:p>
          <w:p w14:paraId="7A8AAE93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</w:t>
            </w:r>
            <w:r w:rsidRPr="007B76FF">
              <w:rPr>
                <w:rFonts w:cs="Arial"/>
                <w:sz w:val="20"/>
                <w:szCs w:val="20"/>
              </w:rPr>
              <w:t>5 – studia krótkiego cyklu – są opracowane tak, aby zapewnić osobom</w:t>
            </w:r>
            <w:r>
              <w:rPr>
                <w:rFonts w:cs="Arial"/>
                <w:sz w:val="20"/>
                <w:szCs w:val="20"/>
              </w:rPr>
              <w:t xml:space="preserve"> uczącym się możliwość zdobycia </w:t>
            </w:r>
            <w:r w:rsidRPr="007B76FF">
              <w:rPr>
                <w:rFonts w:cs="Arial"/>
                <w:sz w:val="20"/>
                <w:szCs w:val="20"/>
              </w:rPr>
              <w:t>profesjonalnej wiedzę, umiejętności i kompetencji. Opierają się one zwykle na p</w:t>
            </w:r>
            <w:r>
              <w:rPr>
                <w:rFonts w:cs="Arial"/>
                <w:sz w:val="20"/>
                <w:szCs w:val="20"/>
              </w:rPr>
              <w:t xml:space="preserve">raktycznej nauce, właściwej dla </w:t>
            </w:r>
            <w:r w:rsidRPr="007B76FF">
              <w:rPr>
                <w:rFonts w:cs="Arial"/>
                <w:sz w:val="20"/>
                <w:szCs w:val="20"/>
              </w:rPr>
              <w:t xml:space="preserve">wykonywania danego zawodu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przygotowują studentów do wejścia na rynek prac</w:t>
            </w:r>
            <w:r>
              <w:rPr>
                <w:rFonts w:cs="Arial"/>
                <w:sz w:val="20"/>
                <w:szCs w:val="20"/>
              </w:rPr>
              <w:t xml:space="preserve">y. Mogą jednak być też drogą do </w:t>
            </w:r>
            <w:r w:rsidRPr="007B76FF">
              <w:rPr>
                <w:rFonts w:cs="Arial"/>
                <w:sz w:val="20"/>
                <w:szCs w:val="20"/>
              </w:rPr>
              <w:t>innych programów kształcenia wyższego. Programy kształcenia akademickiego poniżej poziomu studiów</w:t>
            </w:r>
          </w:p>
          <w:p w14:paraId="35584686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licencjackich lub równorzędne z nimi są także klasyfikowane jako poziom ISC</w:t>
            </w:r>
            <w:r>
              <w:rPr>
                <w:rFonts w:cs="Arial"/>
                <w:sz w:val="20"/>
                <w:szCs w:val="20"/>
              </w:rPr>
              <w:t xml:space="preserve">ED 5. Wymogiem przystąpienia do </w:t>
            </w:r>
            <w:r w:rsidRPr="007B76FF">
              <w:rPr>
                <w:rFonts w:cs="Arial"/>
                <w:sz w:val="20"/>
                <w:szCs w:val="20"/>
              </w:rPr>
              <w:t>programów kształcenia na poziomie ISCED 5 jest pomyślne ukończenie na</w:t>
            </w:r>
            <w:r>
              <w:rPr>
                <w:rFonts w:cs="Arial"/>
                <w:sz w:val="20"/>
                <w:szCs w:val="20"/>
              </w:rPr>
              <w:t xml:space="preserve">uki na poziomie 3 lub 4 ISCED z </w:t>
            </w:r>
            <w:r w:rsidRPr="007B76FF">
              <w:rPr>
                <w:rFonts w:cs="Arial"/>
                <w:sz w:val="20"/>
                <w:szCs w:val="20"/>
              </w:rPr>
              <w:t>dostępem do kształcenia wyższego. Programy na poziomie ISCED 5 charakt</w:t>
            </w:r>
            <w:r>
              <w:rPr>
                <w:rFonts w:cs="Arial"/>
                <w:sz w:val="20"/>
                <w:szCs w:val="20"/>
              </w:rPr>
              <w:t xml:space="preserve">eryzują się większą złożonością </w:t>
            </w:r>
            <w:r w:rsidRPr="007B76FF">
              <w:rPr>
                <w:rFonts w:cs="Arial"/>
                <w:sz w:val="20"/>
                <w:szCs w:val="20"/>
              </w:rPr>
              <w:t xml:space="preserve">merytoryczną niż programy na poziomach 3 i 4 ISCED, ale trwają krócej </w:t>
            </w:r>
            <w:r>
              <w:rPr>
                <w:rFonts w:cs="Arial"/>
                <w:sz w:val="20"/>
                <w:szCs w:val="20"/>
              </w:rPr>
              <w:t xml:space="preserve">i są zwykle w mniejszym stopniu </w:t>
            </w:r>
            <w:r w:rsidRPr="007B76FF">
              <w:rPr>
                <w:rFonts w:cs="Arial"/>
                <w:sz w:val="20"/>
                <w:szCs w:val="20"/>
              </w:rPr>
              <w:t>zorientowane na naukę teoretyczną niż programy na poziomie ISCED 6.</w:t>
            </w:r>
          </w:p>
          <w:p w14:paraId="40CEA38A" w14:textId="42CF0E59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6 </w:t>
            </w:r>
            <w:r w:rsidRPr="007B76FF">
              <w:rPr>
                <w:rFonts w:cs="Arial"/>
                <w:sz w:val="20"/>
                <w:szCs w:val="20"/>
              </w:rPr>
              <w:t>– studia licencjackie lub ich odpowiedniki – mają na celu dostarczenie s</w:t>
            </w:r>
            <w:r>
              <w:rPr>
                <w:rFonts w:cs="Arial"/>
                <w:sz w:val="20"/>
                <w:szCs w:val="20"/>
              </w:rPr>
              <w:t xml:space="preserve">tudentom wiedzy akademickiej na </w:t>
            </w:r>
            <w:r w:rsidRPr="007B76FF">
              <w:rPr>
                <w:rFonts w:cs="Arial"/>
                <w:sz w:val="20"/>
                <w:szCs w:val="20"/>
              </w:rPr>
              <w:t xml:space="preserve">poziomie średnio zaawansowanym lub wiedzy zawodowej, umiejętności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kompete</w:t>
            </w:r>
            <w:r>
              <w:rPr>
                <w:rFonts w:cs="Arial"/>
                <w:sz w:val="20"/>
                <w:szCs w:val="20"/>
              </w:rPr>
              <w:t xml:space="preserve">ncji, prowadzących do uzyskania </w:t>
            </w:r>
            <w:r w:rsidRPr="007B76FF">
              <w:rPr>
                <w:rFonts w:cs="Arial"/>
                <w:sz w:val="20"/>
                <w:szCs w:val="20"/>
              </w:rPr>
              <w:t>dyplomu pierwszego stopnia lub jego odpowiednika. Programy na tym poziomie opierają się zwykle na nauce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teoretycznej, ale mogą też obejmować zajęcia praktyczne. Są inspirowane przez najnowsze badania lub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doświadczenie zawodowe. Naukę w ramach tych programów oferują uniwersytety i inne równorzędne z nimi uczelnie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wyższe. Wymogiem przystąpienia do programów na tym poziomie jest zazwycz</w:t>
            </w:r>
            <w:r>
              <w:rPr>
                <w:rFonts w:cs="Arial"/>
                <w:sz w:val="20"/>
                <w:szCs w:val="20"/>
              </w:rPr>
              <w:t xml:space="preserve">aj pomyślne ukończenie nauki na </w:t>
            </w:r>
            <w:r w:rsidRPr="007B76FF">
              <w:rPr>
                <w:rFonts w:cs="Arial"/>
                <w:sz w:val="20"/>
                <w:szCs w:val="20"/>
              </w:rPr>
              <w:t>poziomie 3 lub 4 ISCED z dostępem do kształcenia wyższego. Przystąpienie do</w:t>
            </w:r>
            <w:r>
              <w:rPr>
                <w:rFonts w:cs="Arial"/>
                <w:sz w:val="20"/>
                <w:szCs w:val="20"/>
              </w:rPr>
              <w:t xml:space="preserve"> tych programów może zależeć od </w:t>
            </w:r>
            <w:r w:rsidRPr="007B76FF">
              <w:rPr>
                <w:rFonts w:cs="Arial"/>
                <w:sz w:val="20"/>
                <w:szCs w:val="20"/>
              </w:rPr>
              <w:t>wyboru przedmiotów lub od stopni uzyskanych z programów na poziomie 3 i/lub 4 ISCED.</w:t>
            </w:r>
          </w:p>
          <w:p w14:paraId="5264B48E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7 </w:t>
            </w:r>
            <w:r w:rsidRPr="007B76FF">
              <w:rPr>
                <w:rFonts w:cs="Arial"/>
                <w:sz w:val="20"/>
                <w:szCs w:val="20"/>
              </w:rPr>
              <w:t>– studia magisterskie lub ich odpowiedniki – mają na celu dostarczeni</w:t>
            </w:r>
            <w:r>
              <w:rPr>
                <w:rFonts w:cs="Arial"/>
                <w:sz w:val="20"/>
                <w:szCs w:val="20"/>
              </w:rPr>
              <w:t xml:space="preserve">e studentom wiedzy akademickiej </w:t>
            </w:r>
            <w:r w:rsidRPr="007B76FF">
              <w:rPr>
                <w:rFonts w:cs="Arial"/>
                <w:sz w:val="20"/>
                <w:szCs w:val="20"/>
              </w:rPr>
              <w:t xml:space="preserve">na poziomie zaawansowanym oraz/lub wiedzy zawodowej, umiejętności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kompete</w:t>
            </w:r>
            <w:r>
              <w:rPr>
                <w:rFonts w:cs="Arial"/>
                <w:sz w:val="20"/>
                <w:szCs w:val="20"/>
              </w:rPr>
              <w:t xml:space="preserve">ncji, prowadzących do uzyskania </w:t>
            </w:r>
            <w:r w:rsidRPr="007B76FF">
              <w:rPr>
                <w:rFonts w:cs="Arial"/>
                <w:sz w:val="20"/>
                <w:szCs w:val="20"/>
              </w:rPr>
              <w:t>dyplomu drugiego stopnia lub jego odpowiednika. Znaczną część programów na t</w:t>
            </w:r>
            <w:r>
              <w:rPr>
                <w:rFonts w:cs="Arial"/>
                <w:sz w:val="20"/>
                <w:szCs w:val="20"/>
              </w:rPr>
              <w:t xml:space="preserve">ym poziomie mogą stanowić prace </w:t>
            </w:r>
            <w:r w:rsidRPr="007B76FF">
              <w:rPr>
                <w:rFonts w:cs="Arial"/>
                <w:sz w:val="20"/>
                <w:szCs w:val="20"/>
              </w:rPr>
              <w:t>badawcze, co jednak nie prowadzi jeszcze do przyznania stopnia doktora.</w:t>
            </w:r>
          </w:p>
          <w:p w14:paraId="7C6F9A1A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8 </w:t>
            </w:r>
            <w:r w:rsidRPr="007B76FF">
              <w:rPr>
                <w:rFonts w:cs="Arial"/>
                <w:sz w:val="20"/>
                <w:szCs w:val="20"/>
              </w:rPr>
              <w:t>– studia doktoranckie lub ich odpowiedniki – przede wszystkim prowadzą do uzyskania wysokiego stopnia</w:t>
            </w:r>
          </w:p>
          <w:p w14:paraId="6077D493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naukowego. Programy na tym poziomie ISCED koncentrują się na zaa</w:t>
            </w:r>
            <w:r>
              <w:rPr>
                <w:rFonts w:cs="Arial"/>
                <w:sz w:val="20"/>
                <w:szCs w:val="20"/>
              </w:rPr>
              <w:t xml:space="preserve">wansowanych i twórczych pracach </w:t>
            </w:r>
            <w:r w:rsidRPr="007B76FF">
              <w:rPr>
                <w:rFonts w:cs="Arial"/>
                <w:sz w:val="20"/>
                <w:szCs w:val="20"/>
              </w:rPr>
              <w:t>badawczych. Dostęp do tych programów zapewniają zwykle tylko instytucje szkol</w:t>
            </w:r>
            <w:r>
              <w:rPr>
                <w:rFonts w:cs="Arial"/>
                <w:sz w:val="20"/>
                <w:szCs w:val="20"/>
              </w:rPr>
              <w:t xml:space="preserve">nictwa wyższego, które prowadzą </w:t>
            </w:r>
            <w:r w:rsidRPr="007B76FF">
              <w:rPr>
                <w:rFonts w:cs="Arial"/>
                <w:sz w:val="20"/>
                <w:szCs w:val="20"/>
              </w:rPr>
              <w:t>badania naukowe, np. uniwersytety.</w:t>
            </w:r>
          </w:p>
          <w:p w14:paraId="7022F26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przystępujące do pr</w:t>
            </w:r>
            <w:r>
              <w:rPr>
                <w:rFonts w:cs="Arial"/>
                <w:sz w:val="20"/>
                <w:szCs w:val="20"/>
              </w:rPr>
              <w:t xml:space="preserve">ojektu należy wykazać tylko raz </w:t>
            </w:r>
            <w:r w:rsidRPr="007B76FF">
              <w:rPr>
                <w:rFonts w:cs="Arial"/>
                <w:sz w:val="20"/>
                <w:szCs w:val="20"/>
              </w:rPr>
              <w:t xml:space="preserve">uwzględniając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najwy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ż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szy 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czony poziom ISCED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07BB3670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ISCED 2011 (UNESCO)</w:t>
            </w:r>
          </w:p>
          <w:p w14:paraId="654FD2F5" w14:textId="34241D76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rFonts w:cs="Arial"/>
                <w:sz w:val="20"/>
              </w:rPr>
              <w:t>http://www.uis.unesco.org/Education/Documents/UNESCO_GC_36C-19_ISCED_EN.pdf</w:t>
            </w:r>
          </w:p>
        </w:tc>
      </w:tr>
      <w:tr w:rsidR="00FD69C6" w:rsidRPr="00C93A1D" w14:paraId="054DC95F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49624B53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88B093D" w14:textId="77777777" w:rsidR="00FD69C6" w:rsidRPr="00F366DE" w:rsidRDefault="00FD69C6" w:rsidP="00FD69C6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6559F9">
              <w:rPr>
                <w:i/>
                <w:sz w:val="20"/>
                <w:szCs w:val="20"/>
              </w:rPr>
              <w:t xml:space="preserve">Liczba osób </w:t>
            </w:r>
            <w:r w:rsidRPr="00F366DE">
              <w:rPr>
                <w:i/>
                <w:sz w:val="20"/>
                <w:szCs w:val="20"/>
              </w:rPr>
              <w:t xml:space="preserve">żyjących </w:t>
            </w:r>
            <w:r>
              <w:rPr>
                <w:i/>
                <w:sz w:val="20"/>
                <w:szCs w:val="20"/>
              </w:rPr>
              <w:br/>
              <w:t xml:space="preserve">w </w:t>
            </w:r>
            <w:r w:rsidRPr="00F366DE">
              <w:rPr>
                <w:i/>
                <w:sz w:val="20"/>
                <w:szCs w:val="20"/>
              </w:rPr>
              <w:t>gospodarstwach domowych bez</w:t>
            </w:r>
          </w:p>
          <w:p w14:paraId="5AF08911" w14:textId="38EE4D0A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osób pracujących, objętych </w:t>
            </w:r>
            <w:r w:rsidRPr="00F366DE">
              <w:rPr>
                <w:i/>
                <w:sz w:val="20"/>
                <w:szCs w:val="20"/>
              </w:rPr>
              <w:t xml:space="preserve">wsparciem </w:t>
            </w:r>
            <w:r>
              <w:rPr>
                <w:i/>
                <w:sz w:val="20"/>
                <w:szCs w:val="20"/>
              </w:rPr>
              <w:br/>
            </w:r>
            <w:r w:rsidRPr="00F366DE">
              <w:rPr>
                <w:i/>
                <w:sz w:val="20"/>
                <w:szCs w:val="20"/>
              </w:rPr>
              <w:t>w 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8C729D1" w14:textId="290E5758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B9C0C31" w14:textId="26399539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8CA8C3" w14:textId="0A1E85C6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B332F83" w14:textId="4FFEBD25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5B272EF" w14:textId="7AAB0177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D6427F2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domowe, w którym żaden członek nie pracuje. Wszyscy członkowie gospodarstwa domowego są albo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bezrobotni albo bierni zawodowo.</w:t>
            </w:r>
          </w:p>
          <w:p w14:paraId="565D302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pracujące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"/>
                <w:i/>
                <w:iCs/>
                <w:sz w:val="20"/>
                <w:szCs w:val="20"/>
              </w:rPr>
              <w:t>cych, łą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cznie z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cymi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na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własny rachunek,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500E1034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bierne zawodowo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 zawodowo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tych wsparciem w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programie.</w:t>
            </w:r>
          </w:p>
          <w:p w14:paraId="46907D45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bezrobotne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bezrobotnych, w tym długotrwale bezrobotn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ych,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wsparciem.</w:t>
            </w:r>
          </w:p>
          <w:p w14:paraId="3022ACD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 to jednostka (ekonomiczna, społeczna):</w:t>
            </w:r>
          </w:p>
          <w:p w14:paraId="3D4E6A3C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posiadająca wspólne zobowiązania</w:t>
            </w:r>
          </w:p>
          <w:p w14:paraId="044E525F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dzieląca wydatki domowe lub codzienne potrzeby</w:t>
            </w:r>
          </w:p>
          <w:p w14:paraId="4BBAC06E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wspólnie zamieszkująca.</w:t>
            </w:r>
          </w:p>
          <w:p w14:paraId="56752575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 to zarówno osoba zamieszkująca samotnie, jak rów</w:t>
            </w:r>
            <w:r>
              <w:rPr>
                <w:rFonts w:cs="Arial"/>
                <w:sz w:val="20"/>
                <w:szCs w:val="20"/>
              </w:rPr>
              <w:t xml:space="preserve">nież grupa ludzi (niekoniecznie </w:t>
            </w:r>
            <w:r w:rsidRPr="007B76FF">
              <w:rPr>
                <w:rFonts w:cs="Arial"/>
                <w:sz w:val="20"/>
                <w:szCs w:val="20"/>
              </w:rPr>
              <w:t>spokrewniona) mieszkająca pod tym samym adresem wspólnie prowadząca dom np. mająca przynajmniej jeden</w:t>
            </w:r>
          </w:p>
          <w:p w14:paraId="672AF01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wspólny posiłek dziennie lub wspólny pokój dzienny.</w:t>
            </w:r>
          </w:p>
          <w:p w14:paraId="754A76FA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Gospodarstwem domowym nie jest:</w:t>
            </w:r>
          </w:p>
          <w:p w14:paraId="44C34AFB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gospodarstwo zbiorowe lub gosp</w:t>
            </w:r>
            <w:r>
              <w:rPr>
                <w:rFonts w:cs="Arial"/>
                <w:sz w:val="20"/>
                <w:szCs w:val="20"/>
              </w:rPr>
              <w:t>odarstwo</w:t>
            </w:r>
            <w:r w:rsidRPr="007B76FF">
              <w:rPr>
                <w:rFonts w:cs="Arial"/>
                <w:sz w:val="20"/>
                <w:szCs w:val="20"/>
              </w:rPr>
              <w:t xml:space="preserve"> instytucjonalne (jako przeciwieństw</w:t>
            </w:r>
            <w:r>
              <w:rPr>
                <w:rFonts w:cs="Arial"/>
                <w:sz w:val="20"/>
                <w:szCs w:val="20"/>
              </w:rPr>
              <w:t xml:space="preserve">o prywatnych); przede wszystkim </w:t>
            </w:r>
            <w:r w:rsidRPr="007B76FF">
              <w:rPr>
                <w:rFonts w:cs="Arial"/>
                <w:sz w:val="20"/>
                <w:szCs w:val="20"/>
              </w:rPr>
              <w:t xml:space="preserve">szpitale, domy opieki dla osób starszych, więzienia, koszary wojskowe, instytucje </w:t>
            </w:r>
            <w:r>
              <w:rPr>
                <w:rFonts w:cs="Arial"/>
                <w:sz w:val="20"/>
                <w:szCs w:val="20"/>
              </w:rPr>
              <w:t xml:space="preserve">religijne, szkoły z internatem, </w:t>
            </w:r>
            <w:r w:rsidRPr="007B76FF">
              <w:rPr>
                <w:rFonts w:cs="Arial"/>
                <w:sz w:val="20"/>
                <w:szCs w:val="20"/>
              </w:rPr>
              <w:t>pensjonaty, hotele robotnicze itp.</w:t>
            </w:r>
          </w:p>
          <w:p w14:paraId="13206A42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zatrudnienia określany jest w momencie rozpoczęcia udziału w projek</w:t>
            </w:r>
            <w:r>
              <w:rPr>
                <w:rFonts w:cs="Arial"/>
                <w:sz w:val="20"/>
                <w:szCs w:val="20"/>
              </w:rPr>
              <w:t xml:space="preserve">cie. Wskaźnik obejmuje aktualną </w:t>
            </w:r>
            <w:r w:rsidRPr="007B76FF">
              <w:rPr>
                <w:rFonts w:cs="Arial"/>
                <w:sz w:val="20"/>
                <w:szCs w:val="20"/>
              </w:rPr>
              <w:t>sytuację uczestnika lub - w przypadku braku info</w:t>
            </w:r>
            <w:r>
              <w:rPr>
                <w:rFonts w:cs="Arial"/>
                <w:sz w:val="20"/>
                <w:szCs w:val="20"/>
              </w:rPr>
              <w:t>r</w:t>
            </w:r>
            <w:r w:rsidRPr="007B76FF">
              <w:rPr>
                <w:rFonts w:cs="Arial"/>
                <w:sz w:val="20"/>
                <w:szCs w:val="20"/>
              </w:rPr>
              <w:t>macji - sytuację z roku pop</w:t>
            </w:r>
            <w:r>
              <w:rPr>
                <w:rFonts w:cs="Arial"/>
                <w:sz w:val="20"/>
                <w:szCs w:val="20"/>
              </w:rPr>
              <w:t xml:space="preserve">rzedzającego moment rozpoczęcia </w:t>
            </w:r>
            <w:r w:rsidRPr="007B76FF">
              <w:rPr>
                <w:rFonts w:cs="Arial"/>
                <w:sz w:val="20"/>
                <w:szCs w:val="20"/>
              </w:rPr>
              <w:t>udziału w projekcie.</w:t>
            </w:r>
          </w:p>
          <w:p w14:paraId="5D992F1B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Uczestnik może charakteryzować się kilkoma cechami wskazującymi na szczególną sytuację.</w:t>
            </w:r>
          </w:p>
          <w:p w14:paraId="79EFF318" w14:textId="58B10370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rFonts w:cs="Arial"/>
                <w:sz w:val="20"/>
              </w:rPr>
              <w:t>Definicja opracowana na podstawie: Eurostat, Statystyka społeczna gospodarstw domowych.</w:t>
            </w:r>
          </w:p>
        </w:tc>
      </w:tr>
      <w:tr w:rsidR="00FD69C6" w:rsidRPr="00C93A1D" w14:paraId="4962F1F0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71D471E8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9DDB75B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żyjących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gospodarstwie domowym bez osób</w:t>
            </w:r>
          </w:p>
          <w:p w14:paraId="69CFE577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pracujących, z dziećmi</w:t>
            </w:r>
          </w:p>
          <w:p w14:paraId="67A2E40A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pozostającymi na utrzymaniu,</w:t>
            </w:r>
          </w:p>
          <w:p w14:paraId="7E22B708" w14:textId="6F133D5B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4D4A186" w14:textId="5025B136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C454FA5" w14:textId="510C46D9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0D4F19" w14:textId="5F06D1B1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BA049F8" w14:textId="23A74B7E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F42B1C5" w14:textId="6407F298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1FF2988C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Gospodarstwo domowe definiowane są jak we wskaźniku: liczba osób żyjących w gospodarstwach domowych bez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osób pracujących, objętych wsparciem w programie .</w:t>
            </w:r>
          </w:p>
          <w:p w14:paraId="38D2F8D8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jest podkategorią poprzedniego wskaźnika, co oznacza, że osoba wykazana we wskaźniku dot.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gospodarstw domowych bez osób pracujących, z dziećmi pozostającymi na utrzymaniu powinna być również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wykazana we wskaźniku dot. gospodarstw domowych bez osób pracujących.</w:t>
            </w:r>
          </w:p>
          <w:p w14:paraId="10A142F9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pracujące definiowane są jak we wskaźni</w:t>
            </w:r>
            <w:r>
              <w:rPr>
                <w:rFonts w:asciiTheme="minorHAnsi" w:hAnsiTheme="minorHAnsi"/>
              </w:rPr>
              <w:t>k</w:t>
            </w:r>
            <w:r w:rsidRPr="007B76FF">
              <w:rPr>
                <w:rFonts w:asciiTheme="minorHAnsi" w:hAnsiTheme="minorHAnsi"/>
              </w:rPr>
              <w:t>u: liczba osób pracujących, łącznie z prowadzącymi działalność na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własny rachunek, objętych wsparciem w programie.</w:t>
            </w:r>
          </w:p>
          <w:p w14:paraId="15930F65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bierne zawodowo definiowane są jak we wskaźniku: liczba osób biernych zawodowo objętych wsparciem w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programie.</w:t>
            </w:r>
          </w:p>
          <w:p w14:paraId="45C24D5D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bezrobotne definiowane są jak we wskaźniku: liczba osób bezrobotnych objętych wsparciem.</w:t>
            </w:r>
          </w:p>
          <w:p w14:paraId="4A1EC10D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Dzieci pozostające na utrzymaniu to osoby w wieku 0-17 lat oraz 18-24 lata, które są bierne zawodowo oraz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mieszkają z rodzicem. Wiek dzieci liczony jest od daty urodzenia i ustalany w dniu rozpoczęcia udziału uczestnika w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projekcie.</w:t>
            </w:r>
          </w:p>
          <w:p w14:paraId="18E0E884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Status zatrudnienia określany jest w momencie rozpoczęcia udziału w projekcie. Wskaźnik obejmuje aktualną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sytuację uczestnika lub - w przypadku braku info</w:t>
            </w:r>
            <w:r>
              <w:rPr>
                <w:rFonts w:asciiTheme="minorHAnsi" w:hAnsiTheme="minorHAnsi"/>
              </w:rPr>
              <w:t>r</w:t>
            </w:r>
            <w:r w:rsidRPr="007B76FF">
              <w:rPr>
                <w:rFonts w:asciiTheme="minorHAnsi" w:hAnsiTheme="minorHAnsi"/>
              </w:rPr>
              <w:t>macji - sytuację z roku poprzedzającego moment rozpoczęcia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udziału w projekcie.</w:t>
            </w:r>
          </w:p>
          <w:p w14:paraId="4CAAA403" w14:textId="0744CCCC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sz w:val="20"/>
              </w:rPr>
              <w:t>Definicja opracowana na podstawie: Eurostat, Statystyka społeczna gospodarstw domowych.</w:t>
            </w:r>
          </w:p>
        </w:tc>
      </w:tr>
      <w:tr w:rsidR="00FD69C6" w:rsidRPr="00C93A1D" w14:paraId="0394BBF3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060DC0B6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5717477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żyjących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gospodarstwie składającym się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jednej osoby dorosłej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i dzieci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pozostających na utrzymaniu,</w:t>
            </w:r>
          </w:p>
          <w:p w14:paraId="58A6B1E0" w14:textId="1C8DE894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objętych wsparciem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0E02BB37" w14:textId="0B20263F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9D4E27B" w14:textId="6B68065E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70156B0" w14:textId="10C928EE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96754C9" w14:textId="1033F1C7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C2C7B5B" w14:textId="33CF256D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2CDBA10A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Osoba dorosła to osoba powyżej 18 lat. Wiek uczestników liczony jest od daty urodzenia i ustalany w dniu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rozpoczęcia udziału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projekcie.</w:t>
            </w:r>
          </w:p>
          <w:p w14:paraId="00BDB954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obejmuje aktualną sytuację uczestnika lub - w przypadku br</w:t>
            </w:r>
            <w:r>
              <w:rPr>
                <w:rFonts w:cs="Arial"/>
                <w:sz w:val="20"/>
                <w:szCs w:val="20"/>
              </w:rPr>
              <w:t xml:space="preserve">aku informacji - sytuację z roku </w:t>
            </w:r>
            <w:r w:rsidRPr="007B76FF">
              <w:rPr>
                <w:rFonts w:cs="Arial"/>
                <w:sz w:val="20"/>
                <w:szCs w:val="20"/>
              </w:rPr>
              <w:t>poprzedzającego moment rozpoczęcia udziału w projekcie.</w:t>
            </w:r>
          </w:p>
          <w:p w14:paraId="097B83F1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Gospodarstwo domowe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liczba osób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h w gospodarstwach domowych bez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62815F69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Dzieci pozostające na utrzymaniu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liczba osób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cych w gospodarstwach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domowych bez 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z dzie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cymi na utrzymaniu,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5185582E" w14:textId="18362097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rFonts w:cs="Arial"/>
                <w:sz w:val="20"/>
              </w:rPr>
              <w:t>Definicja opracowana na podstawie: Eurostat, Statystyka społeczna gospodarstw domowych.</w:t>
            </w:r>
          </w:p>
        </w:tc>
      </w:tr>
      <w:tr w:rsidR="00FD69C6" w:rsidRPr="00C93A1D" w14:paraId="4B40F3AC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09256274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F8D1021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migrantów, osób obcego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pochodzenia, mniejszości (w tym</w:t>
            </w:r>
          </w:p>
          <w:p w14:paraId="11B0A293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społeczności zmarginalizowane takie</w:t>
            </w:r>
          </w:p>
          <w:p w14:paraId="40599A20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jak Romowie), objętych wsparciem w</w:t>
            </w:r>
          </w:p>
          <w:p w14:paraId="7A3EA978" w14:textId="487A845B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0F85CAD" w14:textId="1F3482E2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3082AE4" w14:textId="3C8DDA30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62690F" w14:textId="28F84538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965446F" w14:textId="578450C1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CFF23F3" w14:textId="0A1AED09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46041B7B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Cudzoziemcy na stale mieszkający w danym państwie, obywatele obcego pochodzenia lub obywatele należący do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mniejszości.</w:t>
            </w:r>
          </w:p>
          <w:p w14:paraId="269F13C7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Zgodnie z prawem krajowym mniejszości narodowe to mniejszość: białoruska, czeska, litewska, niemiecka,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ormiańska, rosyjska, słowacka, ukraińska, żydowska.</w:t>
            </w:r>
          </w:p>
          <w:p w14:paraId="3FC687D1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Mniejszości etniczne: karaimska, łemkowska, romska, tatarska.</w:t>
            </w:r>
          </w:p>
          <w:p w14:paraId="3E55448D" w14:textId="77777777" w:rsidR="00FD69C6" w:rsidRPr="007B76FF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obcego pochodzenia to cudzoziemcy - każda osoba, która nie posiada polskiego obywatelstwa, bez względu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na fakt posiadania lub nie obywatelstwa (obywatelstw) innych krajów lub osoba, której co najmniej jeden z rodziców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urodził się poza terenem Polski.</w:t>
            </w:r>
          </w:p>
          <w:p w14:paraId="43130203" w14:textId="6833B714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sz w:val="20"/>
              </w:rPr>
              <w:t xml:space="preserve">Definicja opracowana na podstawie definicji wykorzystywanych przez: Eurostat, baza danych Polityki Rynku Pracy (LMP), ustawy </w:t>
            </w:r>
            <w:r w:rsidRPr="00917D52">
              <w:rPr>
                <w:sz w:val="20"/>
              </w:rPr>
              <w:br/>
              <w:t xml:space="preserve">o mniejszościach narodowych i etnicznych oraz języku regionalnym z dnia 6 stycznia 2005 r. z </w:t>
            </w:r>
            <w:proofErr w:type="spellStart"/>
            <w:r w:rsidRPr="00917D52">
              <w:rPr>
                <w:sz w:val="20"/>
              </w:rPr>
              <w:t>późn</w:t>
            </w:r>
            <w:proofErr w:type="spellEnd"/>
            <w:r w:rsidRPr="00917D52">
              <w:rPr>
                <w:sz w:val="20"/>
              </w:rPr>
              <w:t>. zm.</w:t>
            </w:r>
          </w:p>
        </w:tc>
      </w:tr>
      <w:tr w:rsidR="00FD69C6" w:rsidRPr="00C93A1D" w14:paraId="48CE435B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74863D4A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CEA2EB3" w14:textId="23035CA6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844061">
              <w:rPr>
                <w:rFonts w:cs="Arial"/>
                <w:i/>
                <w:sz w:val="20"/>
                <w:szCs w:val="20"/>
              </w:rPr>
              <w:t>niepełnosprawnościami objętych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F0E7BBF" w14:textId="530612BD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9AE0563" w14:textId="2B09AC9C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1166E0" w14:textId="2D2FAF3F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AA49D41" w14:textId="1962BDCF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831A672" w14:textId="7C187155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50C0C07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Przynależność do grupy osób niepełnosprawnych określana jest </w:t>
            </w:r>
            <w:r w:rsidRPr="007B76FF">
              <w:rPr>
                <w:rFonts w:cs="Arial"/>
                <w:sz w:val="20"/>
                <w:szCs w:val="20"/>
              </w:rPr>
              <w:br/>
              <w:t>w momencie rozpoczęcia udziału w projekcie.</w:t>
            </w:r>
          </w:p>
          <w:p w14:paraId="0DA569EF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Za osoby niepełnosprawne uznaje się osoby niepełnosprawne </w:t>
            </w:r>
            <w:r w:rsidRPr="007B76FF">
              <w:rPr>
                <w:rFonts w:cs="Arial"/>
                <w:sz w:val="20"/>
                <w:szCs w:val="20"/>
              </w:rPr>
              <w:br/>
              <w:t>w świetle przepisów ustawy z dnia 27 sierpnia 1997 r.</w:t>
            </w:r>
          </w:p>
          <w:p w14:paraId="1DDDA63B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 rehabilitacji zawodowej i społecznej oraz zatrudnieniu osób niepełnosprawnych (Dz.U. 1997 nr 123 poz. 776), a także osoby </w:t>
            </w:r>
            <w:r w:rsidRPr="007B76FF">
              <w:rPr>
                <w:rFonts w:cs="Arial"/>
                <w:sz w:val="20"/>
                <w:szCs w:val="20"/>
              </w:rPr>
              <w:br/>
              <w:t>z zaburzeniami psychicznymi, o których mowa w ustawie z dnia 19 sierpnia 1994 r. o ochronie zdrowia psychicznego (Dz. U. 1994 nr 111, poz. 535), tj. osoby z odpowiednim orzeczeniem lub innym dokumentem poświadczającym stan zdrowia.</w:t>
            </w:r>
          </w:p>
          <w:p w14:paraId="23CB4978" w14:textId="5B3EE5F2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(LMP), ustawa o rehabilitacji zawodowej i społecznej oraz zatrudnianiu osób niepełnosprawnych, ustawa o ochronie zdrowia psychicznego.</w:t>
            </w:r>
          </w:p>
        </w:tc>
      </w:tr>
      <w:tr w:rsidR="00FD69C6" w:rsidRPr="00C93A1D" w14:paraId="73A05004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6E2DC1B5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C6D244D" w14:textId="17085DD1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osób z innych grup 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nie</w:t>
            </w:r>
            <w:r w:rsidRPr="00844061">
              <w:rPr>
                <w:rFonts w:cs="Arial"/>
                <w:i/>
                <w:sz w:val="20"/>
                <w:szCs w:val="20"/>
              </w:rPr>
              <w:t>korzystnej sytuacji społecznej,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2169F60" w14:textId="3703D9CB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8ECF407" w14:textId="29C7036F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55A7554" w14:textId="52DB8620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A53E79E" w14:textId="4AB55A6F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FE9528C" w14:textId="2A5B21E0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52F6825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odnosi się do wszystkich grup uczestników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niekorzystnej sytuacji, takich jak osoby zagrożone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wykluczeniem społecznym.</w:t>
            </w:r>
          </w:p>
          <w:p w14:paraId="06BAF7C9" w14:textId="1C6649D8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dotyczy cech powodujących niekorzystną sytuację społeczną, a nie objętych wskaźnikami dot. osób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niepełnosprawnościami, migrantów, gospodarstw domowych bez osób pracuj</w:t>
            </w:r>
            <w:r>
              <w:rPr>
                <w:rFonts w:cs="Arial"/>
                <w:sz w:val="20"/>
                <w:szCs w:val="20"/>
              </w:rPr>
              <w:t xml:space="preserve">ących, gospodarstw domowych bez </w:t>
            </w:r>
            <w:r w:rsidRPr="007B76FF">
              <w:rPr>
                <w:rFonts w:cs="Arial"/>
                <w:sz w:val="20"/>
                <w:szCs w:val="20"/>
              </w:rPr>
              <w:t>osób pracujących z dziećmi na utrzymaniu, gospodarstwach domowych składającyc</w:t>
            </w:r>
            <w:r>
              <w:rPr>
                <w:rFonts w:cs="Arial"/>
                <w:sz w:val="20"/>
                <w:szCs w:val="20"/>
              </w:rPr>
              <w:t xml:space="preserve">h się z jednej osoby dorosłej i </w:t>
            </w:r>
            <w:r w:rsidRPr="007B76FF">
              <w:rPr>
                <w:rFonts w:cs="Arial"/>
                <w:sz w:val="20"/>
                <w:szCs w:val="20"/>
              </w:rPr>
              <w:t>dzieci pozostających na utrzymaniu.</w:t>
            </w:r>
          </w:p>
          <w:p w14:paraId="4DC0912B" w14:textId="52DE5465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Bezdomność i wykluczenie z dostępu do mieszkań oraz pochodzenie z obszar</w:t>
            </w:r>
            <w:r>
              <w:rPr>
                <w:rFonts w:cs="Arial"/>
                <w:sz w:val="20"/>
                <w:szCs w:val="20"/>
              </w:rPr>
              <w:t xml:space="preserve">ów wiejskich powinno zawsze być </w:t>
            </w:r>
            <w:r w:rsidRPr="007B76FF">
              <w:rPr>
                <w:rFonts w:cs="Arial"/>
                <w:sz w:val="20"/>
                <w:szCs w:val="20"/>
              </w:rPr>
              <w:t>wykazywane we wsk</w:t>
            </w:r>
            <w:r>
              <w:rPr>
                <w:rFonts w:cs="Arial"/>
                <w:sz w:val="20"/>
                <w:szCs w:val="20"/>
              </w:rPr>
              <w:t>aźniku dot. innych grup w niekorz</w:t>
            </w:r>
            <w:r w:rsidRPr="007B76FF">
              <w:rPr>
                <w:rFonts w:cs="Arial"/>
                <w:sz w:val="20"/>
                <w:szCs w:val="20"/>
              </w:rPr>
              <w:t>ystnej sytuacji społecznej</w:t>
            </w:r>
            <w:r>
              <w:rPr>
                <w:rFonts w:cs="Arial"/>
                <w:sz w:val="20"/>
                <w:szCs w:val="20"/>
              </w:rPr>
              <w:t xml:space="preserve">, jeśli te cechy uznawane są za </w:t>
            </w:r>
            <w:r w:rsidRPr="007B76FF">
              <w:rPr>
                <w:rFonts w:cs="Arial"/>
                <w:sz w:val="20"/>
                <w:szCs w:val="20"/>
              </w:rPr>
              <w:t>niekorzystne na poziomie krajowym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i powodują potrzebę specjalnej pomocy na rynku pracy.</w:t>
            </w:r>
          </w:p>
          <w:p w14:paraId="32B5AD3B" w14:textId="7D10EA06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Niekorzystna sytuacja dotycząca płci, statusu na rynku pracy - jak długotrwałe bezrobocie, wiek lub osiągnięcie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wykształcenia co najmniej na poziomie ISCED 1, objęta jest wspólnymi wskaźnikami</w:t>
            </w:r>
            <w:r>
              <w:rPr>
                <w:rFonts w:cs="Arial"/>
                <w:sz w:val="20"/>
                <w:szCs w:val="20"/>
              </w:rPr>
              <w:t xml:space="preserve"> i nie powinna być uwzględniana </w:t>
            </w:r>
            <w:r w:rsidRPr="007B76FF">
              <w:rPr>
                <w:rFonts w:cs="Arial"/>
                <w:sz w:val="20"/>
                <w:szCs w:val="20"/>
              </w:rPr>
              <w:t>w tym wskaźniku.</w:t>
            </w:r>
          </w:p>
          <w:p w14:paraId="2FA4E534" w14:textId="4147EC86" w:rsidR="00FD69C6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Przykładem takiego uczestnika może być osoba z wykształceniem na poziomie ISCED 0 (przez co należy rozumieć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brak ukończenia poziomu ISCED 1) i jest poza wiekiem typowym dla ukończenia poziomu ISCED 1. </w:t>
            </w:r>
          </w:p>
          <w:p w14:paraId="55107689" w14:textId="43F8D0B8" w:rsidR="00FD69C6" w:rsidRPr="007D00DC" w:rsidRDefault="00FD69C6" w:rsidP="00917D5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Innym </w:t>
            </w:r>
            <w:r w:rsidRPr="007B76FF">
              <w:rPr>
                <w:rFonts w:cs="Arial"/>
                <w:sz w:val="20"/>
                <w:szCs w:val="20"/>
              </w:rPr>
              <w:t>przykładem uczestników, których należy wykazać we wskaźniku są byli więźniowie, narkomani itp. W przypadku,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kiedy dana osoba zostaje uznana za znajdującą się w niekorzystnej sytuacji (np. z</w:t>
            </w:r>
            <w:r>
              <w:rPr>
                <w:rFonts w:cs="Arial"/>
                <w:sz w:val="20"/>
                <w:szCs w:val="20"/>
              </w:rPr>
              <w:t xml:space="preserve"> ww. powodu wykształcenia) jest </w:t>
            </w:r>
            <w:r w:rsidRPr="007B76FF">
              <w:rPr>
                <w:rFonts w:cs="Arial"/>
                <w:sz w:val="20"/>
                <w:szCs w:val="20"/>
              </w:rPr>
              <w:t>jednocześnie np. osobą niepełnosprawną, należy ją wykazać w obu wskaźnikac</w:t>
            </w:r>
            <w:r>
              <w:rPr>
                <w:rFonts w:cs="Arial"/>
                <w:sz w:val="20"/>
                <w:szCs w:val="20"/>
              </w:rPr>
              <w:t xml:space="preserve">h (dot. niepełnosprawności oraz </w:t>
            </w:r>
            <w:r w:rsidRPr="007B76FF">
              <w:rPr>
                <w:rFonts w:cs="Arial"/>
                <w:sz w:val="20"/>
                <w:szCs w:val="20"/>
              </w:rPr>
              <w:t>niekorzystnej sytuacji). Katalog cech włączających uczestnika do grupy znajdującej si</w:t>
            </w:r>
            <w:r>
              <w:rPr>
                <w:rFonts w:cs="Arial"/>
                <w:sz w:val="20"/>
                <w:szCs w:val="20"/>
              </w:rPr>
              <w:t xml:space="preserve">ę w niekorzystnej sytuacji jest </w:t>
            </w:r>
            <w:r w:rsidRPr="007B76FF">
              <w:rPr>
                <w:rFonts w:cs="Arial"/>
                <w:sz w:val="20"/>
                <w:szCs w:val="20"/>
              </w:rPr>
              <w:t>otwarty i przy zachowaniu powyższych wytycznych,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 uzasadnionych przypadkach może zostać rozszerzony przez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917D52">
              <w:rPr>
                <w:rFonts w:cs="Arial"/>
                <w:sz w:val="20"/>
              </w:rPr>
              <w:t>projektodawcę.</w:t>
            </w:r>
          </w:p>
        </w:tc>
      </w:tr>
      <w:tr w:rsidR="00FD69C6" w:rsidRPr="00C93A1D" w14:paraId="13BA8846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79F47B39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EDB0B9D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</w:t>
            </w:r>
            <w:r w:rsidRPr="00844061">
              <w:rPr>
                <w:rFonts w:cs="Arial"/>
                <w:i/>
                <w:sz w:val="20"/>
                <w:szCs w:val="20"/>
              </w:rPr>
              <w:t>iczba osób bezdomnych lub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dotkniętych wykluczeniem z dostępu</w:t>
            </w:r>
          </w:p>
          <w:p w14:paraId="33283C89" w14:textId="54593D06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do mieszkań, 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9A723DF" w14:textId="7E86E635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C17DC29" w14:textId="183A6B4E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65C293" w14:textId="1433401E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CE64549" w14:textId="0D2F7BE5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8FCF117" w14:textId="71B0AE1F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2214C25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bezdomne lub dotknięte wykluczeniem z dostępu do mieszkań.</w:t>
            </w:r>
          </w:p>
          <w:p w14:paraId="40E026EF" w14:textId="37AFE3EC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Bezdomność i wykluczenie mieszkaniowe definiowane są zgodnie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Europejską typologią bezdomności i wykl</w:t>
            </w:r>
            <w:r>
              <w:rPr>
                <w:rFonts w:cs="Arial"/>
                <w:sz w:val="20"/>
                <w:szCs w:val="20"/>
              </w:rPr>
              <w:t xml:space="preserve">uczenia </w:t>
            </w:r>
            <w:r w:rsidRPr="007B76FF">
              <w:rPr>
                <w:rFonts w:cs="Arial"/>
                <w:sz w:val="20"/>
                <w:szCs w:val="20"/>
              </w:rPr>
              <w:t>mieszkaniowego ETHOS, w której wskazuje się okoliczności życia w bezdomności lub ekstremalne formy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wykluczenia mieszkaniowego:</w:t>
            </w:r>
          </w:p>
          <w:p w14:paraId="724288FF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1. Bez dachu nad głową (osoby żyjące w surowych i alarmujących warunkach)</w:t>
            </w:r>
          </w:p>
          <w:p w14:paraId="7D8E873C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2. Bez miejsca zamieszkania (osoby przebywające w schroniskach dla bezdomn</w:t>
            </w:r>
            <w:r>
              <w:rPr>
                <w:rFonts w:cs="Arial"/>
                <w:sz w:val="20"/>
                <w:szCs w:val="20"/>
              </w:rPr>
              <w:t xml:space="preserve">ych, w schroniskach dla kobiet, </w:t>
            </w:r>
            <w:r w:rsidRPr="007B76FF">
              <w:rPr>
                <w:rFonts w:cs="Arial"/>
                <w:sz w:val="20"/>
                <w:szCs w:val="20"/>
              </w:rPr>
              <w:t>schroniskach dla imigrantów, osoby opuszczające instytucje penitencjarne/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karne/szpitale, instytucje opiekuńcze,</w:t>
            </w:r>
          </w:p>
          <w:p w14:paraId="5FE6F883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otrzymujące długookresowe wsparcie z powodu bezdomności - specjalistyczne zakwaterowanie wspierane)</w:t>
            </w:r>
          </w:p>
          <w:p w14:paraId="3AD8B333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3. Niezabezpieczone zakwaterowanie (osoby posiadające niepewny najem z na</w:t>
            </w:r>
            <w:r>
              <w:rPr>
                <w:rFonts w:cs="Arial"/>
                <w:sz w:val="20"/>
                <w:szCs w:val="20"/>
              </w:rPr>
              <w:t xml:space="preserve">kazem eksmisji, osoby zagrożone </w:t>
            </w:r>
            <w:r w:rsidRPr="007B76FF">
              <w:rPr>
                <w:rFonts w:cs="Arial"/>
                <w:sz w:val="20"/>
                <w:szCs w:val="20"/>
              </w:rPr>
              <w:t>przemocą)</w:t>
            </w:r>
          </w:p>
          <w:p w14:paraId="265F7DC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4. Nieodpowiednie warunki mieszkaniowe (konstrukcje tymczasowe, mieszkania </w:t>
            </w:r>
            <w:proofErr w:type="spellStart"/>
            <w:r w:rsidRPr="007B76FF">
              <w:rPr>
                <w:rFonts w:cs="Arial"/>
                <w:sz w:val="20"/>
                <w:szCs w:val="20"/>
              </w:rPr>
              <w:t>substandardowe</w:t>
            </w:r>
            <w:proofErr w:type="spellEnd"/>
            <w:r w:rsidRPr="007B76FF">
              <w:rPr>
                <w:rFonts w:cs="Arial"/>
                <w:sz w:val="20"/>
                <w:szCs w:val="20"/>
              </w:rPr>
              <w:t xml:space="preserve"> - lokale</w:t>
            </w:r>
          </w:p>
          <w:p w14:paraId="3869E5E2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nienadające się do zamieszkania wg standardu krajowego, skrajne przeludnienie).</w:t>
            </w:r>
          </w:p>
          <w:p w14:paraId="24B789EE" w14:textId="77777777" w:rsidR="00FD69C6" w:rsidRDefault="00FD69C6" w:rsidP="00917D5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dorosłe mieszka</w:t>
            </w:r>
            <w:r>
              <w:rPr>
                <w:rFonts w:cs="Arial"/>
                <w:sz w:val="20"/>
                <w:szCs w:val="20"/>
              </w:rPr>
              <w:t>jące z rodzicami nie powinny być</w:t>
            </w:r>
            <w:r w:rsidRPr="007B76FF">
              <w:rPr>
                <w:rFonts w:cs="Arial"/>
                <w:sz w:val="20"/>
                <w:szCs w:val="20"/>
              </w:rPr>
              <w:t xml:space="preserve"> wykazywane we wskaźniku, chyba że wszystkie te osoby są</w:t>
            </w:r>
            <w:r w:rsidR="00917D52">
              <w:rPr>
                <w:rFonts w:cs="Arial"/>
                <w:sz w:val="20"/>
                <w:szCs w:val="20"/>
              </w:rPr>
              <w:t xml:space="preserve"> </w:t>
            </w:r>
            <w:r w:rsidRPr="00917D52">
              <w:rPr>
                <w:rFonts w:cs="Arial"/>
                <w:sz w:val="20"/>
              </w:rPr>
              <w:t>bezdomne lub mieszkają w nieodpowiednich i niebezpiecznych warunkach.</w:t>
            </w:r>
          </w:p>
          <w:p w14:paraId="0AB9C4AB" w14:textId="11B82F26" w:rsidR="00917D52" w:rsidRPr="007D00DC" w:rsidRDefault="00917D52" w:rsidP="00917D5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D69C6" w:rsidRPr="00C93A1D" w14:paraId="68CEE968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408B8170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2F18D3D" w14:textId="70440A2B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pochodzących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obszarów wiejskich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7C4380C" w14:textId="7D470F79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DA70ADC" w14:textId="2A299EE7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C588658" w14:textId="19C1C6D5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B26B171" w14:textId="39F594B9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671FCDD" w14:textId="1D5751A7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7B76FF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39E44258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pochodzące z obszarów wiejskich należy rozumieć jako osoby </w:t>
            </w:r>
            <w:r>
              <w:rPr>
                <w:rFonts w:cs="Arial"/>
                <w:sz w:val="20"/>
                <w:szCs w:val="20"/>
              </w:rPr>
              <w:t xml:space="preserve">przebywające na obszarach słabo </w:t>
            </w:r>
            <w:r w:rsidRPr="007B76FF">
              <w:rPr>
                <w:rFonts w:cs="Arial"/>
                <w:sz w:val="20"/>
                <w:szCs w:val="20"/>
              </w:rPr>
              <w:t>zaludnionych zgodnie ze stopniem urbanizacji (DEGU</w:t>
            </w:r>
            <w:r>
              <w:rPr>
                <w:rFonts w:cs="Arial"/>
                <w:sz w:val="20"/>
                <w:szCs w:val="20"/>
              </w:rPr>
              <w:t xml:space="preserve">RBA kategoria 3). Obszary słabo </w:t>
            </w:r>
            <w:r w:rsidRPr="007B76FF">
              <w:rPr>
                <w:rFonts w:cs="Arial"/>
                <w:sz w:val="20"/>
                <w:szCs w:val="20"/>
              </w:rPr>
              <w:t>zaludnione to obszary</w:t>
            </w:r>
            <w:r>
              <w:rPr>
                <w:rFonts w:cs="Arial"/>
                <w:sz w:val="20"/>
                <w:szCs w:val="20"/>
              </w:rPr>
              <w:t xml:space="preserve">, na </w:t>
            </w:r>
            <w:r w:rsidRPr="007B76FF">
              <w:rPr>
                <w:rFonts w:cs="Arial"/>
                <w:sz w:val="20"/>
                <w:szCs w:val="20"/>
              </w:rPr>
              <w:t>których więcej niż 50% populacji zamieszkuje tereny wiejskie.</w:t>
            </w:r>
          </w:p>
          <w:p w14:paraId="04D1F92C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Uczestnik może char</w:t>
            </w:r>
            <w:r>
              <w:rPr>
                <w:rFonts w:cs="Arial"/>
                <w:sz w:val="20"/>
                <w:szCs w:val="20"/>
              </w:rPr>
              <w:t xml:space="preserve">akteryzować się kilkoma cechami </w:t>
            </w:r>
            <w:r w:rsidRPr="007B76FF">
              <w:rPr>
                <w:rFonts w:cs="Arial"/>
                <w:sz w:val="20"/>
                <w:szCs w:val="20"/>
              </w:rPr>
              <w:t>wskazującymi na szczególną sytuację.</w:t>
            </w:r>
          </w:p>
          <w:p w14:paraId="0650C03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Dane będą gromadzone na podstawie </w:t>
            </w:r>
            <w:proofErr w:type="spellStart"/>
            <w:r w:rsidRPr="007B76FF">
              <w:rPr>
                <w:rFonts w:cs="Arial"/>
                <w:sz w:val="20"/>
                <w:szCs w:val="20"/>
              </w:rPr>
              <w:t>Local</w:t>
            </w:r>
            <w:proofErr w:type="spellEnd"/>
            <w:r w:rsidRPr="007B76F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B76FF">
              <w:rPr>
                <w:rFonts w:cs="Arial"/>
                <w:sz w:val="20"/>
                <w:szCs w:val="20"/>
              </w:rPr>
              <w:t>Administrative</w:t>
            </w:r>
            <w:proofErr w:type="spellEnd"/>
            <w:r w:rsidRPr="007B76FF">
              <w:rPr>
                <w:rFonts w:cs="Arial"/>
                <w:sz w:val="20"/>
                <w:szCs w:val="20"/>
              </w:rPr>
              <w:t xml:space="preserve"> Unit </w:t>
            </w:r>
            <w:proofErr w:type="spellStart"/>
            <w:r w:rsidRPr="007B76FF">
              <w:rPr>
                <w:rFonts w:cs="Arial"/>
                <w:sz w:val="20"/>
                <w:szCs w:val="20"/>
              </w:rPr>
              <w:t>level</w:t>
            </w:r>
            <w:proofErr w:type="spellEnd"/>
            <w:r w:rsidRPr="007B76FF">
              <w:rPr>
                <w:rFonts w:cs="Arial"/>
                <w:sz w:val="20"/>
                <w:szCs w:val="20"/>
              </w:rPr>
              <w:t xml:space="preserve"> of LAU 2 (lokalna administracja/gminy).</w:t>
            </w:r>
          </w:p>
          <w:p w14:paraId="62EBA0ED" w14:textId="77777777" w:rsidR="00FD69C6" w:rsidRPr="007B76FF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Kategoria 3 DEGURBY powinna być</w:t>
            </w:r>
            <w:r w:rsidRPr="007B76FF">
              <w:rPr>
                <w:rFonts w:cs="Arial"/>
                <w:sz w:val="20"/>
                <w:szCs w:val="20"/>
              </w:rPr>
              <w:t xml:space="preserve"> określana na podstawie:</w:t>
            </w:r>
          </w:p>
          <w:p w14:paraId="61F5908E" w14:textId="77777777" w:rsidR="00FD69C6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http://ec.europa.eu/eurostat/ramon/miscellaneous/index.cfm?TargetUrl=DSP_DEGURBA tabela z </w:t>
            </w:r>
            <w:r w:rsidRPr="000F4FD3">
              <w:rPr>
                <w:rFonts w:cs="Arial"/>
                <w:sz w:val="20"/>
                <w:szCs w:val="20"/>
              </w:rPr>
              <w:t>nagłówkiem "dla roku odniesienia 2012".</w:t>
            </w:r>
          </w:p>
          <w:p w14:paraId="3DFE88B2" w14:textId="048989DB" w:rsidR="00917D52" w:rsidRPr="007D00DC" w:rsidRDefault="00917D52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D69C6" w:rsidRPr="00C93A1D" w14:paraId="0B356F0B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44AE19D2" w14:textId="77777777" w:rsidR="00FD69C6" w:rsidRPr="00F50AA2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B7A3D4C" w14:textId="77777777" w:rsidR="00FD69C6" w:rsidRPr="00F50AA2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50AA2">
              <w:rPr>
                <w:rFonts w:cs="Arial"/>
                <w:i/>
                <w:sz w:val="20"/>
                <w:szCs w:val="20"/>
              </w:rPr>
              <w:t xml:space="preserve">Liczba projektów zrealizowanych </w:t>
            </w:r>
            <w:r w:rsidRPr="00F50AA2">
              <w:rPr>
                <w:rFonts w:cs="Arial"/>
                <w:i/>
                <w:sz w:val="20"/>
                <w:szCs w:val="20"/>
              </w:rPr>
              <w:br/>
              <w:t>w pełni lub częściowo przez partnerów</w:t>
            </w:r>
          </w:p>
          <w:p w14:paraId="0B8E62EE" w14:textId="77777777" w:rsidR="00FD69C6" w:rsidRPr="00F50AA2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50AA2">
              <w:rPr>
                <w:rFonts w:cs="Arial"/>
                <w:i/>
                <w:sz w:val="20"/>
                <w:szCs w:val="20"/>
              </w:rPr>
              <w:t>społecznych lub organizacje</w:t>
            </w:r>
          </w:p>
          <w:p w14:paraId="662174D7" w14:textId="70760186" w:rsidR="00FD69C6" w:rsidRPr="00F50AA2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50AA2">
              <w:rPr>
                <w:rFonts w:cs="Arial"/>
                <w:i/>
                <w:sz w:val="20"/>
                <w:szCs w:val="20"/>
              </w:rPr>
              <w:t>pozarządowe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C8C36FF" w14:textId="7A25734D" w:rsidR="00FD69C6" w:rsidRPr="00F50AA2" w:rsidRDefault="00FD69C6" w:rsidP="00FD69C6">
            <w:pPr>
              <w:jc w:val="center"/>
              <w:rPr>
                <w:sz w:val="18"/>
                <w:szCs w:val="18"/>
              </w:rPr>
            </w:pPr>
            <w:r w:rsidRPr="00F50AA2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A2694C7" w14:textId="09C55A78" w:rsidR="00FD69C6" w:rsidRPr="00F50AA2" w:rsidRDefault="00FD69C6" w:rsidP="00FD69C6">
            <w:pPr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5265C5A" w14:textId="732C6D0E" w:rsidR="00FD69C6" w:rsidRPr="00F50AA2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BB1BC2B" w14:textId="0A60AC86" w:rsidR="00FD69C6" w:rsidRPr="00F50AA2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C8C7E70" w14:textId="39C73CAA" w:rsidR="00FD69C6" w:rsidRPr="00F50AA2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F50AA2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5EF13B36" w14:textId="35DE56B4" w:rsidR="00FD69C6" w:rsidRPr="00F50AA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F50AA2">
              <w:rPr>
                <w:rFonts w:asciiTheme="minorHAnsi" w:hAnsiTheme="minorHAnsi"/>
              </w:rPr>
              <w:t xml:space="preserve">"Partnerzy społeczni” to termin szeroko używany w całej Europie </w:t>
            </w:r>
            <w:r w:rsidRPr="00F50AA2">
              <w:rPr>
                <w:rFonts w:asciiTheme="minorHAnsi" w:hAnsiTheme="minorHAnsi"/>
              </w:rPr>
              <w:br/>
              <w:t>w odniesieniu do przedstawicieli pracodawców i</w:t>
            </w:r>
            <w:r w:rsidR="00917D52" w:rsidRPr="00F50AA2">
              <w:rPr>
                <w:rFonts w:asciiTheme="minorHAnsi" w:hAnsiTheme="minorHAnsi"/>
              </w:rPr>
              <w:t xml:space="preserve"> </w:t>
            </w:r>
            <w:r w:rsidRPr="00F50AA2">
              <w:rPr>
                <w:rFonts w:asciiTheme="minorHAnsi" w:hAnsiTheme="minorHAnsi"/>
              </w:rPr>
              <w:t>pracowników (organizacji pracodawców i związków zawodowych).</w:t>
            </w:r>
          </w:p>
          <w:p w14:paraId="3A9AEA75" w14:textId="7C4DDD58" w:rsidR="00FD69C6" w:rsidRPr="00F50AA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F50AA2">
              <w:rPr>
                <w:rFonts w:asciiTheme="minorHAnsi" w:hAnsiTheme="minorHAnsi"/>
              </w:rPr>
              <w:t>Organizacja pozarządowa (NGO) to organizacja założona przez obywateli z własnej inicjatywy, która nie działa dla</w:t>
            </w:r>
            <w:r w:rsidR="00917D52" w:rsidRPr="00F50AA2">
              <w:rPr>
                <w:rFonts w:asciiTheme="minorHAnsi" w:hAnsiTheme="minorHAnsi"/>
              </w:rPr>
              <w:t xml:space="preserve"> </w:t>
            </w:r>
            <w:r w:rsidRPr="00F50AA2">
              <w:rPr>
                <w:rFonts w:asciiTheme="minorHAnsi" w:hAnsiTheme="minorHAnsi"/>
              </w:rPr>
              <w:t>osiągnięcia zysku i jest zorganizowana na szczeblu lokalnym, krajowym lub międzynarodowym. Organizacje pozarządowe - zorientowane na działanie i prowadzone przez ludzi, którym przyświeca wspólny cel – realizują szereg usług i funkcji humanitarnych, przedstawiają rządom państw obawy obywateli, wspierają i monitorują realizację polityk oraz stymulują udział polityków poprzez dostarczanie informacji.</w:t>
            </w:r>
          </w:p>
          <w:p w14:paraId="64214B64" w14:textId="77777777" w:rsidR="00FD69C6" w:rsidRPr="00F50AA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F50AA2">
              <w:rPr>
                <w:rFonts w:asciiTheme="minorHAnsi" w:hAnsiTheme="minorHAnsi"/>
              </w:rPr>
              <w:t>Projekt jest częściowo realizowany przez partnerów społecznych lub organizacje pozarządowe, kiedy wśród projektodawców (rozumianych jako beneficjentów lub partnerów projektu) znajdują się m.in. partnerzy społeczni lub organizacje pozarządowe.</w:t>
            </w:r>
          </w:p>
          <w:p w14:paraId="6C5620B4" w14:textId="77777777" w:rsidR="00FD69C6" w:rsidRPr="00F50AA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F50AA2">
              <w:rPr>
                <w:rFonts w:asciiTheme="minorHAnsi" w:hAnsiTheme="minorHAnsi"/>
              </w:rPr>
              <w:t xml:space="preserve">Sformułowania zapisane kursywą są identyczne z definicjami </w:t>
            </w:r>
            <w:proofErr w:type="spellStart"/>
            <w:r w:rsidRPr="00F50AA2">
              <w:rPr>
                <w:rFonts w:asciiTheme="minorHAnsi" w:hAnsiTheme="minorHAnsi"/>
              </w:rPr>
              <w:t>Eurofound</w:t>
            </w:r>
            <w:proofErr w:type="spellEnd"/>
            <w:r w:rsidRPr="00F50AA2">
              <w:rPr>
                <w:rFonts w:asciiTheme="minorHAnsi" w:hAnsiTheme="minorHAnsi"/>
              </w:rPr>
              <w:t xml:space="preserve"> (partnerzy społeczni) oraz NGO Global Network (organizacje pozarządowe).</w:t>
            </w:r>
          </w:p>
          <w:p w14:paraId="3F319061" w14:textId="77777777" w:rsidR="00FD69C6" w:rsidRPr="00F50AA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F50AA2">
              <w:rPr>
                <w:rFonts w:asciiTheme="minorHAnsi" w:hAnsiTheme="minorHAnsi"/>
              </w:rPr>
              <w:t>Wskaźnik obejmuje beneficjentów inicjujących i wdrażających projekty zgodnie z art. 2 Rozporządzenia nr 1303/2013</w:t>
            </w:r>
          </w:p>
          <w:p w14:paraId="24DB46BC" w14:textId="6B7C9DCC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sz w:val="20"/>
              </w:rPr>
              <w:t xml:space="preserve">Wskaźnik nie podlega monitorowaniu na poziomie projektu. Za pomiar wskaźnika odpowiada Instytucja Zarządzająca, która raportuje z wykonania na podstawie danych generowanych </w:t>
            </w:r>
            <w:r w:rsidRPr="00F50AA2">
              <w:rPr>
                <w:sz w:val="20"/>
              </w:rPr>
              <w:br/>
              <w:t>z SL2014.</w:t>
            </w:r>
          </w:p>
        </w:tc>
      </w:tr>
      <w:tr w:rsidR="00FD69C6" w:rsidRPr="00C93A1D" w14:paraId="2178A39F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560911EA" w14:textId="77777777" w:rsidR="00FD69C6" w:rsidRPr="00F50AA2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6BE7CAB" w14:textId="77777777" w:rsidR="00FD69C6" w:rsidRPr="00F50AA2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50AA2">
              <w:rPr>
                <w:rFonts w:cs="Arial"/>
                <w:i/>
                <w:sz w:val="20"/>
                <w:szCs w:val="20"/>
              </w:rPr>
              <w:t>Liczba projektów obejmujących</w:t>
            </w:r>
          </w:p>
          <w:p w14:paraId="74C172C7" w14:textId="77777777" w:rsidR="00FD69C6" w:rsidRPr="00F50AA2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50AA2">
              <w:rPr>
                <w:rFonts w:cs="Arial"/>
                <w:i/>
                <w:sz w:val="20"/>
                <w:szCs w:val="20"/>
              </w:rPr>
              <w:t>administrację publiczną lub służby publiczne na szczeblu krajowym,</w:t>
            </w:r>
          </w:p>
          <w:p w14:paraId="35012602" w14:textId="3C5D2126" w:rsidR="00FD69C6" w:rsidRPr="00F50AA2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50AA2">
              <w:rPr>
                <w:rFonts w:cs="Arial"/>
                <w:i/>
                <w:sz w:val="20"/>
                <w:szCs w:val="20"/>
              </w:rPr>
              <w:t>regionalnym lub lokalnym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081BF911" w14:textId="5BCD7529" w:rsidR="00FD69C6" w:rsidRPr="00F50AA2" w:rsidRDefault="00FD69C6" w:rsidP="00FD69C6">
            <w:pPr>
              <w:jc w:val="center"/>
              <w:rPr>
                <w:sz w:val="18"/>
                <w:szCs w:val="18"/>
              </w:rPr>
            </w:pPr>
            <w:r w:rsidRPr="00F50AA2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42EA897" w14:textId="7414953C" w:rsidR="00FD69C6" w:rsidRPr="00F50AA2" w:rsidRDefault="00FD69C6" w:rsidP="00FD69C6">
            <w:pPr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D067128" w14:textId="54AE1BDA" w:rsidR="00FD69C6" w:rsidRPr="00F50AA2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B301698" w14:textId="366F5A2E" w:rsidR="00FD69C6" w:rsidRPr="00F50AA2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EDFCA37" w14:textId="68E36456" w:rsidR="00FD69C6" w:rsidRPr="00F50AA2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F50AA2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768D17F9" w14:textId="77777777" w:rsidR="00FD69C6" w:rsidRPr="00F50AA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F50AA2">
              <w:rPr>
                <w:rFonts w:asciiTheme="minorHAnsi" w:hAnsiTheme="minorHAnsi"/>
              </w:rPr>
              <w:t>Europejski Fundusz Społeczny wzmacnia zdolności instytucjonalne i skuteczność administracji publicznej na szczeblu krajowym, regionalnym lub lokalnym.</w:t>
            </w:r>
          </w:p>
          <w:p w14:paraId="1DDD9868" w14:textId="77777777" w:rsidR="00FD69C6" w:rsidRPr="00F50AA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F50AA2">
              <w:rPr>
                <w:rFonts w:asciiTheme="minorHAnsi" w:hAnsiTheme="minorHAnsi"/>
              </w:rPr>
              <w:t>We wskaźniku należy wykazać projekty realizowane w celu zapewnienia wsparcia w ww. obszarach.</w:t>
            </w:r>
          </w:p>
          <w:p w14:paraId="1C088B69" w14:textId="4F081E79" w:rsidR="00FD69C6" w:rsidRPr="00F50AA2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F50AA2">
              <w:rPr>
                <w:rFonts w:asciiTheme="minorHAnsi" w:hAnsiTheme="minorHAnsi"/>
              </w:rPr>
              <w:t>Za służby publiczne uznaje się publiczne lub prywatne podmioty, które świadczą usługi publiczne (w przypadku usług</w:t>
            </w:r>
            <w:r w:rsidR="00917D52" w:rsidRPr="00F50AA2">
              <w:rPr>
                <w:rFonts w:asciiTheme="minorHAnsi" w:hAnsiTheme="minorHAnsi"/>
              </w:rPr>
              <w:t xml:space="preserve"> </w:t>
            </w:r>
            <w:r w:rsidRPr="00F50AA2">
              <w:rPr>
                <w:rFonts w:asciiTheme="minorHAnsi" w:hAnsiTheme="minorHAnsi"/>
              </w:rPr>
              <w:t>publicznych zlecanych przez państwo podmiotom prywatnym lub świadczonych w ramach partnerstwa publiczno-prywatnego).</w:t>
            </w:r>
          </w:p>
          <w:p w14:paraId="6A5D89B4" w14:textId="0ED8ED93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sz w:val="20"/>
              </w:rPr>
              <w:t xml:space="preserve">Wskaźnik nie podlega monitorowaniu na poziomie projektu. Za pomiar wskaźnika odpowiada Instytucja Zarządzająca, która raportuje z wykonania na podstawie danych generowanych </w:t>
            </w:r>
            <w:r w:rsidRPr="00F50AA2">
              <w:rPr>
                <w:sz w:val="20"/>
              </w:rPr>
              <w:br/>
              <w:t>z SL2014.</w:t>
            </w:r>
          </w:p>
        </w:tc>
      </w:tr>
      <w:tr w:rsidR="00FD69C6" w:rsidRPr="00C93A1D" w14:paraId="5C9D387E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40EBF548" w14:textId="77777777" w:rsidR="00FD69C6" w:rsidRPr="00F50AA2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31EDD3F" w14:textId="77777777" w:rsidR="00FD69C6" w:rsidRPr="00F50AA2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50AA2">
              <w:rPr>
                <w:rFonts w:cs="Arial"/>
                <w:i/>
                <w:sz w:val="20"/>
                <w:szCs w:val="20"/>
              </w:rPr>
              <w:t>Liczba projektów ukierunkowanych</w:t>
            </w:r>
          </w:p>
          <w:p w14:paraId="421A803F" w14:textId="77777777" w:rsidR="00FD69C6" w:rsidRPr="00F50AA2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50AA2">
              <w:rPr>
                <w:rFonts w:cs="Arial"/>
                <w:i/>
                <w:sz w:val="20"/>
                <w:szCs w:val="20"/>
              </w:rPr>
              <w:t xml:space="preserve">na trwały udział kobiet </w:t>
            </w:r>
            <w:r w:rsidRPr="00F50AA2">
              <w:rPr>
                <w:rFonts w:cs="Arial"/>
                <w:i/>
                <w:sz w:val="20"/>
                <w:szCs w:val="20"/>
              </w:rPr>
              <w:br/>
              <w:t>w zatrudnieniu</w:t>
            </w:r>
          </w:p>
          <w:p w14:paraId="372D9928" w14:textId="0DB6B9DF" w:rsidR="00FD69C6" w:rsidRPr="00F50AA2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50AA2">
              <w:rPr>
                <w:rFonts w:cs="Arial"/>
                <w:i/>
                <w:sz w:val="20"/>
                <w:szCs w:val="20"/>
              </w:rPr>
              <w:t>i rozwój ich kariery zawodowej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B5970BD" w14:textId="36055057" w:rsidR="00FD69C6" w:rsidRPr="00F50AA2" w:rsidRDefault="00FD69C6" w:rsidP="00FD69C6">
            <w:pPr>
              <w:jc w:val="center"/>
              <w:rPr>
                <w:sz w:val="18"/>
                <w:szCs w:val="18"/>
              </w:rPr>
            </w:pPr>
            <w:r w:rsidRPr="00F50AA2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147015D" w14:textId="04E7F985" w:rsidR="00FD69C6" w:rsidRPr="00F50AA2" w:rsidRDefault="00FD69C6" w:rsidP="00FD69C6">
            <w:pPr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C0C2C9D" w14:textId="525C039C" w:rsidR="00FD69C6" w:rsidRPr="00F50AA2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A188F73" w14:textId="2F035C87" w:rsidR="00FD69C6" w:rsidRPr="00F50AA2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B4417E8" w14:textId="2F016D41" w:rsidR="00FD69C6" w:rsidRPr="00F50AA2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F50AA2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64C911A8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 xml:space="preserve">We wskaźniku należy wykazać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projekty realizowane w celu zwi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kszenia trwałego udziału kobiet w zatrudnieniu, a tym samym zwalczania feminizacji ubóstwa, zmniejszenia podziału ze wzgl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du na płe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i zwalczania stereotypów dotycz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 xml:space="preserve">cych płci na rynku pracy. W zakresie kształcenia i szkolenia - upowszechnienie godzenia 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ycia zawodowego i prywatnego oraz równego podziału obowi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zków zwi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zanych z opiek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pomi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dzy m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ęż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czyznami i kobietami.</w:t>
            </w:r>
          </w:p>
          <w:p w14:paraId="10B738F8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>Definicja opracowana na podstawie:</w:t>
            </w:r>
          </w:p>
          <w:p w14:paraId="60113AE3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>- Rozporządzenie Parlamentu Europejskiego i Rady w sprawie Europejskiego Funduszu Społecznego nr 1304/2013,</w:t>
            </w:r>
          </w:p>
          <w:p w14:paraId="100D0A88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>Art. 7. Promowanie równości między kobietami i mężczyznami.</w:t>
            </w:r>
          </w:p>
          <w:p w14:paraId="5F59C4BE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 xml:space="preserve">Sformułowania zapisane kursywą są identyczne jak </w:t>
            </w:r>
            <w:r w:rsidRPr="00F50AA2">
              <w:rPr>
                <w:rFonts w:cs="Arial"/>
                <w:sz w:val="20"/>
                <w:szCs w:val="20"/>
              </w:rPr>
              <w:br/>
              <w:t>w rozporządzeniu dot. EFS</w:t>
            </w:r>
          </w:p>
          <w:p w14:paraId="1E55CCC4" w14:textId="11DD95DA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 xml:space="preserve">Wskaźnik nie podlega monitorowaniu na poziomie projektu. Za pomiar wskaźnika odpowiada Instytucja Zarządzająca, która raportuje z wykonania na podstawie danych generowanych </w:t>
            </w:r>
            <w:r w:rsidRPr="00F50AA2">
              <w:rPr>
                <w:rFonts w:cs="Arial"/>
                <w:sz w:val="20"/>
                <w:szCs w:val="20"/>
              </w:rPr>
              <w:br/>
              <w:t>z SL2014.</w:t>
            </w:r>
          </w:p>
        </w:tc>
      </w:tr>
      <w:tr w:rsidR="00FD69C6" w:rsidRPr="00C93A1D" w14:paraId="0205E9EB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632C97B0" w14:textId="77777777" w:rsidR="00FD69C6" w:rsidRPr="00F50AA2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CCA8417" w14:textId="77777777" w:rsidR="00FD69C6" w:rsidRPr="00F50AA2" w:rsidRDefault="00FD69C6" w:rsidP="00FD69C6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50AA2">
              <w:rPr>
                <w:i/>
                <w:sz w:val="20"/>
                <w:szCs w:val="20"/>
              </w:rPr>
              <w:t>Liczba objętych wsparciem w programie mikro-, małych i średnich</w:t>
            </w:r>
          </w:p>
          <w:p w14:paraId="003A5388" w14:textId="77777777" w:rsidR="00FD69C6" w:rsidRPr="00F50AA2" w:rsidRDefault="00FD69C6" w:rsidP="00FD69C6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50AA2">
              <w:rPr>
                <w:i/>
                <w:sz w:val="20"/>
                <w:szCs w:val="20"/>
              </w:rPr>
              <w:t>przedsiębiorstw (w tym</w:t>
            </w:r>
          </w:p>
          <w:p w14:paraId="58A32E8B" w14:textId="77777777" w:rsidR="00FD69C6" w:rsidRPr="00F50AA2" w:rsidRDefault="00FD69C6" w:rsidP="00FD69C6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50AA2">
              <w:rPr>
                <w:i/>
                <w:sz w:val="20"/>
                <w:szCs w:val="20"/>
              </w:rPr>
              <w:t xml:space="preserve">przedsiębiorstw spółdzielczych </w:t>
            </w:r>
            <w:r w:rsidRPr="00F50AA2">
              <w:rPr>
                <w:i/>
                <w:sz w:val="20"/>
                <w:szCs w:val="20"/>
              </w:rPr>
              <w:br/>
              <w:t>i przedsiębiorstw ekonomii</w:t>
            </w:r>
          </w:p>
          <w:p w14:paraId="40C42B68" w14:textId="073D75CC" w:rsidR="00FD69C6" w:rsidRPr="00F50AA2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50AA2">
              <w:rPr>
                <w:i/>
                <w:sz w:val="20"/>
                <w:szCs w:val="20"/>
              </w:rPr>
              <w:t>społecznej)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0C200E9" w14:textId="5BDCD92A" w:rsidR="00FD69C6" w:rsidRPr="00F50AA2" w:rsidRDefault="00FD69C6" w:rsidP="00FD69C6">
            <w:pPr>
              <w:jc w:val="center"/>
              <w:rPr>
                <w:sz w:val="18"/>
                <w:szCs w:val="18"/>
              </w:rPr>
            </w:pPr>
            <w:r w:rsidRPr="00F50AA2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DA9B319" w14:textId="42841A17" w:rsidR="00FD69C6" w:rsidRPr="00F50AA2" w:rsidRDefault="00FD69C6" w:rsidP="00FD69C6">
            <w:pPr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48B8B9" w14:textId="60E9CB88" w:rsidR="00FD69C6" w:rsidRPr="00F50AA2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AE367BF" w14:textId="0431FED2" w:rsidR="00FD69C6" w:rsidRPr="00F50AA2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F50AA2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11002B8" w14:textId="0D096CAC" w:rsidR="00FD69C6" w:rsidRPr="00F50AA2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F50AA2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3D9AC6AB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 xml:space="preserve">Liczba wspieranych mikroprzedsiębiorstw oraz małych </w:t>
            </w:r>
            <w:r w:rsidRPr="00F50AA2">
              <w:rPr>
                <w:rFonts w:cs="Arial"/>
                <w:sz w:val="20"/>
                <w:szCs w:val="20"/>
              </w:rPr>
              <w:br/>
              <w:t xml:space="preserve">i średnich przedsiębiorstw, w tym przedsiębiorstw spółdzielczych </w:t>
            </w:r>
            <w:r w:rsidRPr="00F50AA2">
              <w:rPr>
                <w:rFonts w:cs="Arial"/>
                <w:sz w:val="20"/>
                <w:szCs w:val="20"/>
              </w:rPr>
              <w:br/>
              <w:t>i przedsiębiorstw ekonomii społecznej.</w:t>
            </w:r>
          </w:p>
          <w:p w14:paraId="75C47332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F50AA2">
              <w:rPr>
                <w:rFonts w:cs="Arial"/>
                <w:i/>
                <w:iCs/>
                <w:sz w:val="20"/>
                <w:szCs w:val="20"/>
              </w:rPr>
              <w:t>Za przedsi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biorstwo uwa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a si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podmiot prowadz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cy działalno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bez wzgl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du na jego form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prawn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0C8446A5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F50AA2">
              <w:rPr>
                <w:rFonts w:cs="Arial"/>
                <w:i/>
                <w:iCs/>
                <w:sz w:val="20"/>
                <w:szCs w:val="20"/>
              </w:rPr>
              <w:t>Pułap zatrudnienia oraz pułapy finansowe okre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laj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ce kategori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przedsi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biorstwa</w:t>
            </w:r>
          </w:p>
          <w:p w14:paraId="4996D69F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F50AA2">
              <w:rPr>
                <w:rFonts w:cs="Arial"/>
                <w:i/>
                <w:iCs/>
                <w:sz w:val="20"/>
                <w:szCs w:val="20"/>
              </w:rPr>
              <w:t>1. Na kategori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mikroprzedsi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 xml:space="preserve">biorstw oraz małych i 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rednich przedsi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biorstw (M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P) składaj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przedsi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biorstwa, które zatrudniaj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mniej ni</w:t>
            </w:r>
            <w:r w:rsidRPr="00F50AA2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F50AA2">
              <w:rPr>
                <w:rFonts w:cs="Arial"/>
                <w:i/>
                <w:iCs/>
                <w:sz w:val="20"/>
                <w:szCs w:val="20"/>
              </w:rPr>
              <w:t>250 pracowników, których roczny obrót nie przekracza 50 milionów EUR i/lub roczna suma bilansowa nie przekracza 43 milionów EUR.</w:t>
            </w:r>
          </w:p>
          <w:p w14:paraId="3AB471D2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>W kategorii mikroprzedsiębiorstwa należy uwzględnić również osoby prowadzące działalność na własny rachunek.</w:t>
            </w:r>
          </w:p>
          <w:p w14:paraId="377F59E2" w14:textId="7BF203C1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>Tylko MŚP, które korzystają bezpośrednio ze wsparcia powinny być uwzględniane do wskaźnika, tj. w przypadku kiedy wsparcie jest dedykowane dla konkretnego przedsiębiorstwa. Jeżeli na przykład pracownik z MŚP z własnej inicjatywy uczestniczy w szkoleniu, nie należy tego uwzględniać we wskaźniku dotyczącym MŚP, ponieważ jest to tylko wsparcie pośrednie dla przedsiębiorstwa. MŚP będące jedynie beneficjentami projektu także nie powinny być</w:t>
            </w:r>
            <w:r w:rsidR="00917D52" w:rsidRPr="00F50AA2">
              <w:rPr>
                <w:rFonts w:cs="Arial"/>
                <w:sz w:val="20"/>
                <w:szCs w:val="20"/>
              </w:rPr>
              <w:t xml:space="preserve"> </w:t>
            </w:r>
            <w:r w:rsidRPr="00F50AA2">
              <w:rPr>
                <w:rFonts w:cs="Arial"/>
                <w:sz w:val="20"/>
                <w:szCs w:val="20"/>
              </w:rPr>
              <w:t>odnotowywane w tym wskaźniku.</w:t>
            </w:r>
          </w:p>
          <w:p w14:paraId="2BA80FB7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>Sformułowania zapisane kursywą są identyczne z zaleceniem Komisji.</w:t>
            </w:r>
          </w:p>
          <w:p w14:paraId="696FA66F" w14:textId="77777777" w:rsidR="00FD69C6" w:rsidRPr="00F50AA2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>Definicje na podstawie: Zalecenie Komisji z dnia 6 maja 2003 r. dotyczące definicji mikroprzedsiębiorstw oraz małych i średnich przedsiębiorstw (2003/361/WE)</w:t>
            </w:r>
          </w:p>
          <w:p w14:paraId="3E45421B" w14:textId="697AD012" w:rsidR="00FD69C6" w:rsidRPr="00F50AA2" w:rsidRDefault="00FD69C6" w:rsidP="00917D5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50AA2">
              <w:rPr>
                <w:rFonts w:cs="Arial"/>
                <w:sz w:val="20"/>
                <w:szCs w:val="20"/>
              </w:rPr>
              <w:t>Do podmiotu prowadzącego działalność gospodarczą zalicza się również przedsiębiorstwo spółdzielcze i</w:t>
            </w:r>
            <w:r w:rsidR="00917D52" w:rsidRPr="00F50AA2">
              <w:rPr>
                <w:rFonts w:cs="Arial"/>
                <w:sz w:val="20"/>
                <w:szCs w:val="20"/>
              </w:rPr>
              <w:t xml:space="preserve"> </w:t>
            </w:r>
            <w:r w:rsidRPr="00F50AA2">
              <w:rPr>
                <w:rFonts w:cs="Arial"/>
                <w:sz w:val="20"/>
              </w:rPr>
              <w:t>przedsiębiorstwo ekonomii społecznej.</w:t>
            </w:r>
          </w:p>
        </w:tc>
      </w:tr>
      <w:tr w:rsidR="00FD69C6" w:rsidRPr="00C93A1D" w14:paraId="5404D725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18638730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059AF72F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zawodowo,</w:t>
            </w:r>
          </w:p>
          <w:p w14:paraId="2509779B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poszukujących pracy po opuszczeniu</w:t>
            </w:r>
          </w:p>
          <w:p w14:paraId="3D45FEF9" w14:textId="773E2B41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1537BAF" w14:textId="270E546D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ABCD1A0" w14:textId="6BC99E28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C2B3EC" w14:textId="30C54617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07D6BE7" w14:textId="1B1EA704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6A170D5" w14:textId="01FA02F3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6F4FC41F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 xml:space="preserve">Osoby bierne zawodowo i nie poszukujące pracy w momencie rozpoczęcia udziału w projekcie, które otrzymały wsparcie z EFS </w:t>
            </w:r>
            <w:r>
              <w:br/>
              <w:t>i które poszukują pracy po opuszczeniu projektu.</w:t>
            </w:r>
          </w:p>
          <w:p w14:paraId="6223BAAB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 xml:space="preserve">Wskaźnik ten należy rozumieć jako zmianę statusu zatrudnienia po opuszczeniu programu w stosunku do sytuacji w momencie przystąpienia do interwencji EFS (uczestnik bierny zawodowo </w:t>
            </w:r>
            <w:r>
              <w:br/>
              <w:t>i nieposzukujący pracy w chwili wejścia do programu EFS).</w:t>
            </w:r>
          </w:p>
          <w:p w14:paraId="0FBD2823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bierne zawodowo definiowane są jak we wskaźniku: liczba osób biernych zawodowo objętych wsparciem w ramach programu.</w:t>
            </w:r>
          </w:p>
          <w:p w14:paraId="66B97D69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zarejestrowane jako poszukujące pracy są rozumiane jako osoby pozostające bez pracy, gotowe do podjęcia pracy i aktywnie poszukujące zatrudnienia - tak jak we wskaźniku dot. osób bezrobotnych.</w:t>
            </w:r>
          </w:p>
          <w:p w14:paraId="750D15E9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nowo zarejestrowane w publicznych służbach zatrudnienia jako poszukujące pracy należy wliczać do wskaźnika, nawet jeśli nie mogą one od razu podjąć zatrudnienia.</w:t>
            </w:r>
          </w:p>
          <w:p w14:paraId="120E73A6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mierzony do czterech tygodni od zakończenia przez uczestnika udziału w projekcie.</w:t>
            </w:r>
          </w:p>
          <w:p w14:paraId="3A727525" w14:textId="4F775F47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sz w:val="20"/>
              </w:rPr>
              <w:t>Definicja opracowana na podstawie definicji wykorzystywanych przez: Eurostat, baza danych Polityki Rynku Pracy.</w:t>
            </w:r>
          </w:p>
        </w:tc>
      </w:tr>
      <w:tr w:rsidR="00FD69C6" w:rsidRPr="00C93A1D" w14:paraId="0610B423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0EFE0DD8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18EF492" w14:textId="77777777" w:rsidR="00FD69C6" w:rsidRPr="007B76F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osób, które podjęły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kształcenie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lub szkolenie po</w:t>
            </w:r>
          </w:p>
          <w:p w14:paraId="4365DDFA" w14:textId="54494D58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60196BD" w14:textId="1B290DAD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6009F1B" w14:textId="10FE5E1F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0E4D5D5" w14:textId="096D8E8D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5EC0C25" w14:textId="4B026F0B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B9AB106" w14:textId="376ADF33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456854DB" w14:textId="7ABA467F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Osoby, które otrzymały wsparcie Europejskiego Funduszu Społecznego, i które podjęły kształcenie (uczenie się</w:t>
            </w:r>
            <w:r w:rsidR="00917D52">
              <w:t xml:space="preserve"> </w:t>
            </w:r>
            <w:r>
              <w:t>przez całe życie, kształcenie formalne) lub szkolenia (pozazakładowe/wewnątrzzakładowe, szkolenia zawodowe etc.)</w:t>
            </w:r>
          </w:p>
          <w:p w14:paraId="74C9594A" w14:textId="539970D1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bezpośrednio po opuszczeniu projektu. Wskaźnik mierzony do czterech tygodni od zakończenia przez uczestnika</w:t>
            </w:r>
            <w:r w:rsidR="00917D52">
              <w:t xml:space="preserve"> </w:t>
            </w:r>
            <w:r>
              <w:t>udziału w projekcie.</w:t>
            </w:r>
          </w:p>
          <w:p w14:paraId="6EE0D737" w14:textId="15F910A0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ten należy rozumieć jako zmianę sytuacji po opuszczeniu programu w stosunku do stanu w momencie</w:t>
            </w:r>
            <w:r w:rsidR="00917D52">
              <w:t xml:space="preserve"> </w:t>
            </w:r>
            <w:r>
              <w:t>przystąpienia do interwenc</w:t>
            </w:r>
            <w:r w:rsidR="00917D52">
              <w:t xml:space="preserve">ji EFS (osoba nieuczestnicząca  </w:t>
            </w:r>
            <w:r>
              <w:t>w kształceniu/szkoleniu w chwili wejścia do programu</w:t>
            </w:r>
            <w:r w:rsidR="00917D52">
              <w:t xml:space="preserve"> </w:t>
            </w:r>
            <w:r>
              <w:t>EFS).</w:t>
            </w:r>
          </w:p>
          <w:p w14:paraId="3885F4E5" w14:textId="42AD536A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sz w:val="20"/>
              </w:rPr>
              <w:t>Źródło finansowania szkolenia/kształcenia jest nieistotne.</w:t>
            </w:r>
          </w:p>
        </w:tc>
      </w:tr>
      <w:tr w:rsidR="00FD69C6" w:rsidRPr="00C93A1D" w14:paraId="54F3271A" w14:textId="77777777" w:rsidTr="00FD69C6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3D64AA05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0E65DBDB" w14:textId="77777777" w:rsidR="00FD69C6" w:rsidRPr="00F366DE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osób, które uzyskały </w:t>
            </w:r>
            <w:r w:rsidRPr="00F366DE">
              <w:rPr>
                <w:rFonts w:cs="Arial"/>
                <w:i/>
                <w:sz w:val="20"/>
                <w:szCs w:val="20"/>
              </w:rPr>
              <w:t>kwalifikacje po opuszczeniu</w:t>
            </w:r>
          </w:p>
          <w:p w14:paraId="59DB4A32" w14:textId="74B02BEF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366DE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CBA4BD6" w14:textId="259265B0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1FC2B42" w14:textId="7C53E022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1446A3" w14:textId="38CA7854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BF3C1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3EE6B5E1" w14:textId="4A7711A5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BF3C13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3DC4A56" w14:textId="54ECCCB1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1B7595C5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Osoby, które otrzymały wsparcie Europejskiego Funduszu Społecznego i uzyskały kwalifikacje po opuszczeniu projektu. Kwalifikacje należy rozumieć jako formalny wynik oceny i walidacji, który uzyskuje się w sytuacji, kiedy właściwy organ uznaje, że dana osoba osiągnęła efekty uczenia się spełniające określone standardy. Wskaźnik mierzony do czterech tygodni od zakończenia przez uczestnika udziału w projekcie.</w:t>
            </w:r>
          </w:p>
          <w:p w14:paraId="08FF5686" w14:textId="77777777" w:rsidR="00FD69C6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Źródło: Komisja Europejska, Europejskie Ramy Kwalifikacji http://ec.europa.eu/eqf/terms_en.htm</w:t>
            </w:r>
          </w:p>
          <w:p w14:paraId="251C97AA" w14:textId="6C249FCB" w:rsidR="00FD69C6" w:rsidRPr="007D00DC" w:rsidRDefault="00FD69C6" w:rsidP="00917D52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cs="Arial"/>
              </w:rPr>
            </w:pPr>
            <w:r>
              <w:t>Sformułowania zapisane kursywą są identyczne z definicją Europejskich Ram Kwalifikacji. Wskaźnik ten może być</w:t>
            </w:r>
            <w:r w:rsidR="00917D52">
              <w:t xml:space="preserve"> </w:t>
            </w:r>
            <w:r w:rsidRPr="00917D52">
              <w:t>rozbity między poziomami ISCED i EQF, przy czym rejestruje się najwyższy osiągnięty wynik. Wykazywać należy wyłącznie kwalifikacje osiągnięte w wyniku operacji Europejskiego Funduszu Społecznego. Powinny one być zgłaszane tylko raz dla uczestnika/projektu.</w:t>
            </w:r>
          </w:p>
        </w:tc>
      </w:tr>
      <w:tr w:rsidR="00FD69C6" w:rsidRPr="00C93A1D" w14:paraId="2AAE1DC9" w14:textId="77777777" w:rsidTr="00917D52">
        <w:trPr>
          <w:trHeight w:val="767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1E15FE18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190DC4A" w14:textId="77777777" w:rsidR="00FD69C6" w:rsidRPr="00A2566E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Liczba osób pracujących, łącznie z prowadzącymi działalność na własny</w:t>
            </w:r>
          </w:p>
          <w:p w14:paraId="4CC1AFCA" w14:textId="4D5FB456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rachunek, 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po </w:t>
            </w:r>
            <w:r w:rsidRPr="00A2566E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D81C6C1" w14:textId="6B961C95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6B2A2F2" w14:textId="78D37C0F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E21E6AA" w14:textId="644B3612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59B1645" w14:textId="34663CA9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9B2417D" w14:textId="5131FD5B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4BF748F8" w14:textId="7F72CCA5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bezrobotne lub bierne zawodowo, które po uzyskaniu wsparcia Europejskiego Funduszu Społecznego podjęły</w:t>
            </w:r>
            <w:r w:rsidR="00917D52">
              <w:t xml:space="preserve"> </w:t>
            </w:r>
            <w:r w:rsidRPr="00A2566E">
              <w:t>zatrudnienie (łącznie z prowadzącymi działalność na własny rachunek) bezpośrednio po opuszczeniu projektu.</w:t>
            </w:r>
          </w:p>
          <w:p w14:paraId="68B734EC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bezrobotne definiowane są jak we wskaźniku: liczba osób bezrobotnych, w tym długotrwale bezrobotnych, objętych wsparciem w programie.</w:t>
            </w:r>
          </w:p>
          <w:p w14:paraId="577631FA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bierne zawodowo definiowane są jak we wskaźniku: liczba osób biernych zawodowo objętych wsparciem w programie.</w:t>
            </w:r>
          </w:p>
          <w:p w14:paraId="6C682167" w14:textId="7221C62E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Definicja pracujących, łącznie z prowadzącymi działalność na własny rachunek, jak we wskaźniku: liczba osób pracujących, łącznie z prowadzącymi działalność na własny rachunek, objętych wsparciem w programie.</w:t>
            </w:r>
          </w:p>
          <w:p w14:paraId="71D66799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należy rozumieć, jako zmianę statusu na rynku pracy po opuszczeniu programu, w stosunku do sytuacji w momencie przystąpienia do interwencji EFS (uczestnik bezrobotny lub bierny zawodowo w chwili wejścia do programu EFS).</w:t>
            </w:r>
          </w:p>
          <w:p w14:paraId="49514A19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mierzony do czterech tygodni od zakończenia przez uczestnika udziału w projekcie. Tym samym, we wskaźniku należy uwzględniać wszystkie osoby, które w okresie do czterech tygodni po zakończeniu udziału w projekcie podjęły zatrudnienie.</w:t>
            </w:r>
          </w:p>
          <w:p w14:paraId="26872BF5" w14:textId="4E94821D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sz w:val="20"/>
              </w:rPr>
              <w:t>Definicja opracowana na podstawie definicji wykorzystywanych przez: Eurostat, baza danych Polityki Rynku Pracy (LMP), badanie aktywności ekonomicznej ludności (BAEL).</w:t>
            </w:r>
          </w:p>
        </w:tc>
      </w:tr>
      <w:tr w:rsidR="00FD69C6" w:rsidRPr="00C93A1D" w14:paraId="3999A11F" w14:textId="77777777" w:rsidTr="00917D52">
        <w:trPr>
          <w:trHeight w:val="6930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6B725631" w14:textId="77777777" w:rsidR="00FD69C6" w:rsidRPr="00136D60" w:rsidRDefault="00FD69C6" w:rsidP="00FD69C6">
            <w:pPr>
              <w:pStyle w:val="Akapitzlist"/>
              <w:numPr>
                <w:ilvl w:val="0"/>
                <w:numId w:val="34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25074FE" w14:textId="77777777" w:rsidR="00FD69C6" w:rsidRPr="00A2566E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Liczba osób </w:t>
            </w:r>
            <w:r w:rsidRPr="00A2566E">
              <w:rPr>
                <w:rFonts w:cs="Arial"/>
                <w:i/>
                <w:sz w:val="20"/>
                <w:szCs w:val="20"/>
              </w:rPr>
              <w:br/>
              <w:t>w niekorzystnej sytuacji</w:t>
            </w:r>
          </w:p>
          <w:p w14:paraId="53A501AC" w14:textId="77777777" w:rsidR="00FD69C6" w:rsidRPr="00A2566E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społecznej poszukujących pracy, uczestniczących </w:t>
            </w:r>
            <w:r w:rsidRPr="00A2566E">
              <w:rPr>
                <w:rFonts w:cs="Arial"/>
                <w:i/>
                <w:sz w:val="20"/>
                <w:szCs w:val="20"/>
              </w:rPr>
              <w:br/>
              <w:t>w kształceniu lub</w:t>
            </w:r>
          </w:p>
          <w:p w14:paraId="7C3E15AC" w14:textId="77777777" w:rsidR="00FD69C6" w:rsidRPr="00A2566E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szkoleniu, zdobywających</w:t>
            </w:r>
          </w:p>
          <w:p w14:paraId="74D260CA" w14:textId="77777777" w:rsidR="00FD69C6" w:rsidRPr="00A2566E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kwalifikacje, zatrudnionych (łącznie</w:t>
            </w:r>
          </w:p>
          <w:p w14:paraId="45D82895" w14:textId="77777777" w:rsidR="00FD69C6" w:rsidRPr="00A2566E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z prowadzącymi działalność na</w:t>
            </w:r>
          </w:p>
          <w:p w14:paraId="1099B812" w14:textId="77777777" w:rsidR="00FD69C6" w:rsidRPr="00A2566E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własny rachunek) po opuszczeniu</w:t>
            </w:r>
          </w:p>
          <w:p w14:paraId="1C6184B2" w14:textId="74373924" w:rsidR="00FD69C6" w:rsidRPr="0023430F" w:rsidRDefault="00FD69C6" w:rsidP="00FD69C6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42C73E8" w14:textId="05981989" w:rsidR="00FD69C6" w:rsidRPr="00FE558E" w:rsidRDefault="00FD69C6" w:rsidP="00FD69C6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86783EB" w14:textId="37184F32" w:rsidR="00FD69C6" w:rsidRPr="00FC63DC" w:rsidRDefault="00FD69C6" w:rsidP="00FD69C6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63C92C8" w14:textId="3AA3145F" w:rsidR="00FD69C6" w:rsidRPr="00254FF1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CD7D646" w14:textId="1D5146DF" w:rsidR="00FD69C6" w:rsidRPr="00FC63DC" w:rsidRDefault="00FD69C6" w:rsidP="00FD69C6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F44308B" w14:textId="5218A1FE" w:rsidR="00FD69C6" w:rsidRDefault="00FD69C6" w:rsidP="00FD69C6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160B63F8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w niekorzystnej sytuacji definiowane są jak we wskaźnikach:</w:t>
            </w:r>
          </w:p>
          <w:p w14:paraId="4E06DAA3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żyjących w gospodarstwach domowych bez osób pracujących</w:t>
            </w:r>
          </w:p>
          <w:p w14:paraId="77FE8C3B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żyjących w gospodarstwach domowych składających się z jednej osoby dorosłej i dzieci pozostających</w:t>
            </w:r>
          </w:p>
          <w:p w14:paraId="7B56BEA6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na utrzymaniu</w:t>
            </w:r>
          </w:p>
          <w:p w14:paraId="49DCD306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migrantów, osób obcego pochodzenia, mniejszości (w tym społeczności zmarginalizowane takie jak Romowie)</w:t>
            </w:r>
          </w:p>
          <w:p w14:paraId="37987C99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z niepełnosprawnościami</w:t>
            </w:r>
          </w:p>
          <w:p w14:paraId="6FF0D73D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z innych grup znajdujących się w niekorzystnej sytuacji społecznej.</w:t>
            </w:r>
          </w:p>
          <w:p w14:paraId="057E4151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Poszukiwanie pracy definiowane jest jak we wskaźniku: liczba osób biernych zawodowo, poszukujących pracy po opuszczeniu programu.</w:t>
            </w:r>
          </w:p>
          <w:p w14:paraId="579C612B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Podjęcie kształcenia lub szkolenia definiowane jest jak we wskaźniku: liczba osób, które podjęły kształcenie lub szkolenie po opuszczeniu programu.</w:t>
            </w:r>
          </w:p>
          <w:p w14:paraId="254896EC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Uzyskanie kwalifikacji definiowane jest jak we wskaźniku: liczba osób, które uzyskały kwalifikacje po opuszczeniu programu.</w:t>
            </w:r>
          </w:p>
          <w:p w14:paraId="6CD2AF94" w14:textId="77777777" w:rsidR="00FD69C6" w:rsidRPr="00A2566E" w:rsidRDefault="00FD69C6" w:rsidP="00FD69C6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Zatrudnienie definiowane jest jak we wskaźniku: liczba osób pracujących po opuszczeniu programu.</w:t>
            </w:r>
          </w:p>
          <w:p w14:paraId="66071ABD" w14:textId="69A6A46B" w:rsidR="00FD69C6" w:rsidRPr="007D00DC" w:rsidRDefault="00FD69C6" w:rsidP="00FD69C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917D52">
              <w:rPr>
                <w:sz w:val="20"/>
              </w:rPr>
              <w:t>Wskaźnik mierzony do czterech tygodni od zakończenia przez uczestnika udziału w projekcie.</w:t>
            </w:r>
          </w:p>
        </w:tc>
      </w:tr>
      <w:tr w:rsidR="00152EEA" w:rsidRPr="00C93A1D" w14:paraId="2E4B0910" w14:textId="77777777" w:rsidTr="00902971">
        <w:trPr>
          <w:trHeight w:val="394"/>
          <w:jc w:val="center"/>
        </w:trPr>
        <w:tc>
          <w:tcPr>
            <w:tcW w:w="15592" w:type="dxa"/>
            <w:gridSpan w:val="1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14:paraId="347958A9" w14:textId="4F446670" w:rsidR="00152EEA" w:rsidRPr="00C93A1D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i/>
                <w:color w:val="0033CC"/>
              </w:rPr>
              <w:t>Oś priorytetowa IX</w:t>
            </w:r>
            <w:r w:rsidRPr="002C69A3">
              <w:rPr>
                <w:i/>
                <w:color w:val="0033CC"/>
              </w:rPr>
              <w:t xml:space="preserve">  </w:t>
            </w:r>
            <w:r>
              <w:rPr>
                <w:b/>
                <w:i/>
                <w:color w:val="0033CC"/>
              </w:rPr>
              <w:t>Wysoka jakość edukacji</w:t>
            </w:r>
          </w:p>
        </w:tc>
      </w:tr>
      <w:tr w:rsidR="00152EEA" w:rsidRPr="00C93A1D" w14:paraId="2D943DB8" w14:textId="77777777" w:rsidTr="00902971">
        <w:trPr>
          <w:trHeight w:val="394"/>
          <w:jc w:val="center"/>
        </w:trPr>
        <w:tc>
          <w:tcPr>
            <w:tcW w:w="15592" w:type="dxa"/>
            <w:gridSpan w:val="1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39A29754" w14:textId="0E1ABE3E" w:rsidR="00152EEA" w:rsidRPr="002C69A3" w:rsidRDefault="00152EEA" w:rsidP="00152EEA">
            <w:pPr>
              <w:autoSpaceDE w:val="0"/>
              <w:autoSpaceDN w:val="0"/>
              <w:adjustRightInd w:val="0"/>
              <w:jc w:val="both"/>
              <w:rPr>
                <w:i/>
                <w:color w:val="0033CC"/>
              </w:rPr>
            </w:pPr>
            <w:r w:rsidRPr="00886496">
              <w:rPr>
                <w:i/>
                <w:color w:val="0033CC"/>
              </w:rPr>
              <w:t xml:space="preserve">Działanie 9.1 </w:t>
            </w:r>
            <w:r w:rsidRPr="002B32D6">
              <w:rPr>
                <w:b/>
                <w:i/>
                <w:color w:val="0033CC"/>
              </w:rPr>
              <w:t>Rozwój edukacji</w:t>
            </w:r>
          </w:p>
        </w:tc>
      </w:tr>
      <w:tr w:rsidR="00152EEA" w:rsidRPr="00C93A1D" w14:paraId="25AA8E19" w14:textId="77777777" w:rsidTr="00902971">
        <w:trPr>
          <w:trHeight w:val="394"/>
          <w:jc w:val="center"/>
        </w:trPr>
        <w:tc>
          <w:tcPr>
            <w:tcW w:w="15592" w:type="dxa"/>
            <w:gridSpan w:val="1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0FA77119" w14:textId="492B83DC" w:rsidR="00152EEA" w:rsidRPr="00C93A1D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i/>
                <w:color w:val="0033CC"/>
              </w:rPr>
              <w:t>Poddziałanie 9.1.1 Wsparcie kształcenia ogólnego</w:t>
            </w:r>
          </w:p>
        </w:tc>
      </w:tr>
      <w:tr w:rsidR="00152EEA" w:rsidRPr="00C93A1D" w14:paraId="781179BA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1B1A0989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0EC85F0" w14:textId="6984EBCA" w:rsidR="00152EEA" w:rsidRPr="0023430F" w:rsidRDefault="00152EEA" w:rsidP="00152EE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Calibri"/>
                <w:i/>
                <w:color w:val="000000"/>
                <w:sz w:val="20"/>
                <w:szCs w:val="20"/>
                <w:lang w:eastAsia="pl-PL"/>
              </w:rPr>
              <w:t xml:space="preserve">Liczba nauczycieli objętych wsparciem w programie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CDB38BB" w14:textId="31CD5004" w:rsidR="00152EEA" w:rsidRPr="00FE558E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11C3108" w14:textId="4AC9B782" w:rsidR="00152EEA" w:rsidRPr="00FC63DC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91C43D" w14:textId="6D97C87C" w:rsidR="00152EEA" w:rsidRPr="00254FF1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0224B2C" w14:textId="792E0A3C" w:rsidR="00152EEA" w:rsidRPr="00FC63DC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EAAD039" w14:textId="4CB383DA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730EE121" w14:textId="3CFC42BF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Liczba wszystkich nauczycieli wychowania przedszkolnego, szkół i placówek dla dzieci</w:t>
            </w:r>
            <w:r>
              <w:rPr>
                <w:rFonts w:cs="Arial"/>
                <w:sz w:val="20"/>
                <w:szCs w:val="20"/>
              </w:rPr>
              <w:t xml:space="preserve"> i młodzieży objętych wsparciem </w:t>
            </w:r>
            <w:r w:rsidRPr="00A2566E">
              <w:rPr>
                <w:rFonts w:cs="Arial"/>
                <w:sz w:val="20"/>
                <w:szCs w:val="20"/>
              </w:rPr>
              <w:t>w programie.</w:t>
            </w:r>
          </w:p>
          <w:p w14:paraId="1A02CA24" w14:textId="1CDFA5AD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Formy wsparcia opisane w Wytycznych w zakresie zasad realizacji przedsięwzięć z</w:t>
            </w:r>
            <w:r>
              <w:rPr>
                <w:rFonts w:cs="Arial"/>
                <w:sz w:val="20"/>
                <w:szCs w:val="20"/>
              </w:rPr>
              <w:t xml:space="preserve"> udziałem środków Europejskiego </w:t>
            </w:r>
            <w:r w:rsidRPr="00A2566E">
              <w:rPr>
                <w:rFonts w:cs="Arial"/>
                <w:sz w:val="20"/>
                <w:szCs w:val="20"/>
              </w:rPr>
              <w:t>Funduszu Społecznego na lata 2014-2020 w obszarze edukacji.</w:t>
            </w:r>
          </w:p>
        </w:tc>
      </w:tr>
      <w:tr w:rsidR="00152EEA" w:rsidRPr="00C93A1D" w14:paraId="1D35C005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35551715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C6355D3" w14:textId="1B6CBF3C" w:rsidR="00152EEA" w:rsidRPr="00975F71" w:rsidRDefault="00152EEA" w:rsidP="00152EE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Calibri"/>
                <w:i/>
                <w:color w:val="000000"/>
                <w:sz w:val="20"/>
                <w:szCs w:val="20"/>
                <w:lang w:eastAsia="pl-PL"/>
              </w:rPr>
              <w:t xml:space="preserve">Liczba nauczycieli objętych wsparciem z zakresu TIK </w:t>
            </w:r>
            <w:r w:rsidRPr="00A2566E">
              <w:rPr>
                <w:rFonts w:cs="Calibri"/>
                <w:i/>
                <w:color w:val="000000"/>
                <w:sz w:val="20"/>
                <w:szCs w:val="20"/>
                <w:lang w:eastAsia="pl-PL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9E04749" w14:textId="7F4434D6" w:rsidR="00152EEA" w:rsidRPr="00991562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C1B87E0" w14:textId="3D2CA07D" w:rsidR="00152EEA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738535F" w14:textId="01C593AF" w:rsidR="00152EEA" w:rsidRPr="00254FF1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6E349C9" w14:textId="2B3F6879" w:rsidR="00152EEA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  <w:r w:rsidRPr="00A2566E" w:rsidDel="000735AC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892A1E7" w14:textId="66CFCDDD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667FAE7D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Liczba nauczycieli szkół dla dzieci i młodzieży (szkół podstawowych, gimnazjalnych i ponadgimnazjalnych), w tym szkół specjalnych (samodzielne i funkcjonujące w placówkach) objętych doskonaleniem umiejętności i kompetencji w zakresie wykorzystania technologii informacyjno-komunikacyjnych (TIK).</w:t>
            </w:r>
          </w:p>
          <w:p w14:paraId="7C59D462" w14:textId="4B55ED7E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Doskonalenie umiejętności i kompetencji zawodowych nauczycieli odbywa się poprzez formy wsparcia opisane w Wytycznych </w:t>
            </w:r>
            <w:r w:rsidRPr="00A2566E">
              <w:rPr>
                <w:rFonts w:cs="Arial"/>
                <w:sz w:val="20"/>
                <w:szCs w:val="20"/>
              </w:rPr>
              <w:br/>
              <w:t xml:space="preserve">w zakresie zasad realizacji przedsięwzięć z udziałem środków Europejskiego Funduszu Społecznego na lata 2014-2020 </w:t>
            </w:r>
            <w:r w:rsidRPr="00A2566E">
              <w:rPr>
                <w:rFonts w:cs="Arial"/>
                <w:sz w:val="20"/>
                <w:szCs w:val="20"/>
              </w:rPr>
              <w:br/>
              <w:t>w obszarze edukacji.</w:t>
            </w:r>
          </w:p>
        </w:tc>
      </w:tr>
      <w:tr w:rsidR="00152EEA" w:rsidRPr="00C93A1D" w14:paraId="332F6BC7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0844F8B4" w14:textId="058CB934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905D25A" w14:textId="13B26A29" w:rsidR="00152EEA" w:rsidRPr="00975F71" w:rsidRDefault="00152EEA" w:rsidP="00152EE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Calibri"/>
                <w:i/>
                <w:color w:val="000000"/>
                <w:sz w:val="20"/>
                <w:szCs w:val="20"/>
                <w:lang w:eastAsia="pl-PL"/>
              </w:rPr>
              <w:t xml:space="preserve">Liczba uczniów objętych wsparciem w zakresie rozwijania kompetencji kluczowych </w:t>
            </w:r>
            <w:r w:rsidRPr="00A2566E">
              <w:rPr>
                <w:rFonts w:cs="Calibri"/>
                <w:i/>
                <w:color w:val="000000"/>
                <w:sz w:val="20"/>
                <w:szCs w:val="20"/>
                <w:lang w:eastAsia="pl-PL"/>
              </w:rPr>
              <w:br/>
              <w:t xml:space="preserve">w programie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F63B30A" w14:textId="03467595" w:rsidR="00152EEA" w:rsidRPr="00991562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ED87980" w14:textId="0CA2E817" w:rsidR="00152EEA" w:rsidRPr="007D3E62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B9E870" w14:textId="1D064995" w:rsidR="00152EEA" w:rsidRPr="007D3E6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416C85C" w14:textId="0FEF7A25" w:rsidR="00152EEA" w:rsidRPr="007D3E6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  <w:r w:rsidRPr="00A2566E" w:rsidDel="000735AC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91149B1" w14:textId="7EF49852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5D67CB6F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Liczba uczniów (szkół podstawowych, gimnazjalnych </w:t>
            </w:r>
            <w:r w:rsidRPr="00A2566E">
              <w:rPr>
                <w:rFonts w:cs="Arial"/>
                <w:sz w:val="20"/>
                <w:szCs w:val="20"/>
              </w:rPr>
              <w:br/>
              <w:t xml:space="preserve">i ponadgimnazjalnych) objętych wsparciem bezpośrednim </w:t>
            </w:r>
            <w:r w:rsidRPr="00A2566E">
              <w:rPr>
                <w:rFonts w:cs="Arial"/>
                <w:sz w:val="20"/>
                <w:szCs w:val="20"/>
              </w:rPr>
              <w:br/>
              <w:t>w ramach programu z zakresu rozwijania kompetencji kluczowych oraz postaw i umiejętności niezbędnych na rynku pracy.</w:t>
            </w:r>
          </w:p>
          <w:p w14:paraId="71F44DAB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Wykazywać należy wyłącznie kompetencje osiągnięte w wyniku interwencji Europejskiego Funduszu Społecznego.</w:t>
            </w:r>
          </w:p>
          <w:p w14:paraId="4744BDBA" w14:textId="44548BFC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Zakres kompetencji kluczowych opisano w Wytycznych w zakresie zasad realizacji przedsięwzięć z udziałem środków Europejskiego Funduszu Społecznego na lata 2014-2020 w obszarze edukacji.</w:t>
            </w:r>
          </w:p>
        </w:tc>
      </w:tr>
      <w:tr w:rsidR="00152EEA" w:rsidRPr="00C93A1D" w14:paraId="576F25EF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59A6FA33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5D960FF" w14:textId="486D7560" w:rsidR="00152EEA" w:rsidRPr="00975F71" w:rsidRDefault="00152EEA" w:rsidP="00152EE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rFonts w:cs="Calibri"/>
                <w:i/>
                <w:color w:val="000000"/>
                <w:sz w:val="20"/>
                <w:szCs w:val="20"/>
                <w:lang w:eastAsia="pl-PL"/>
              </w:rPr>
              <w:t xml:space="preserve">Liczba szkół i placówek systemu oświaty wyposażonych w ramach programu w sprzęt TIK do prowadzenia zajęć edukacyjnych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F6B1B1C" w14:textId="766C70FA" w:rsidR="00152EEA" w:rsidRPr="007D3E62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AFBE068" w14:textId="14C118D8" w:rsidR="00152EEA" w:rsidRPr="007D3E62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DCCA73" w14:textId="6C36886C" w:rsidR="00152EEA" w:rsidRPr="007D3E6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04F815C" w14:textId="77F0B7C7" w:rsidR="00152EEA" w:rsidRPr="007D3E6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5226955" w14:textId="3FE995EA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Wskaźnik z Ram wykonania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64483A8C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Liczba szkół dla dzieci i młodzieży (szkół podstawowych, gimnazjalnych i ponadgimnazjalnych), w tym szkół specjalnych (samodzielne i funkcjonujące w placówkach) oraz placówek systemu oświaty (zgodnie z u</w:t>
            </w:r>
            <w:r>
              <w:rPr>
                <w:rFonts w:cs="Arial"/>
                <w:sz w:val="20"/>
                <w:szCs w:val="20"/>
              </w:rPr>
              <w:t xml:space="preserve">stawą z dnia 7 września 1991 r. </w:t>
            </w:r>
            <w:r w:rsidRPr="00A2566E">
              <w:rPr>
                <w:rFonts w:cs="Arial"/>
                <w:sz w:val="20"/>
                <w:szCs w:val="20"/>
              </w:rPr>
              <w:t>o systemie oświaty) wyposażonych w sprzęt technologii informacyjno-komunikacyj</w:t>
            </w:r>
            <w:r>
              <w:rPr>
                <w:rFonts w:cs="Arial"/>
                <w:sz w:val="20"/>
                <w:szCs w:val="20"/>
              </w:rPr>
              <w:t xml:space="preserve">nych (TIK) do prowadzenia zajęć </w:t>
            </w:r>
            <w:r w:rsidRPr="00A2566E">
              <w:rPr>
                <w:rFonts w:cs="Arial"/>
                <w:sz w:val="20"/>
                <w:szCs w:val="20"/>
              </w:rPr>
              <w:t>edukacyjnych.</w:t>
            </w:r>
          </w:p>
          <w:p w14:paraId="5279A6CD" w14:textId="7C201E2C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Zakup sprzętu TIK odbywa się według standardów opisanych </w:t>
            </w:r>
            <w:r w:rsidRPr="00A2566E">
              <w:rPr>
                <w:rFonts w:cs="Arial"/>
                <w:sz w:val="20"/>
                <w:szCs w:val="20"/>
              </w:rPr>
              <w:br/>
              <w:t>w Wytycznych w zakresie zasad realizacji przedsięwzięć 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2566E">
              <w:rPr>
                <w:rFonts w:cs="Arial"/>
                <w:sz w:val="20"/>
                <w:szCs w:val="20"/>
              </w:rPr>
              <w:t>udziałem środków Europejskiego Funduszu Społecznego na lata 2014-2020 w obszarze edukacji.</w:t>
            </w:r>
          </w:p>
          <w:p w14:paraId="2000E45C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We wskaźniku możliwe jest wykazanie szkół i placówek, które jedynie uzupełniają swoją bazę o pewne elementy wyposażenia, zgodnie z diagnozą i w celu uzyskania konkretnych funkcjonalności. W ramach wskaźnika nie należy uwzględniać szkół dla dorosłych oraz przedszkoli. </w:t>
            </w:r>
          </w:p>
          <w:p w14:paraId="242FC396" w14:textId="5D4567C0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Moment pomiaru wskaźnika rozumiany jest jako dzień dostarczenia sprzętu do szkół i placówek oświatowych.</w:t>
            </w:r>
          </w:p>
        </w:tc>
      </w:tr>
      <w:tr w:rsidR="00152EEA" w:rsidRPr="00C93A1D" w14:paraId="567E28EB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1B4F136F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3A945DE" w14:textId="7979081C" w:rsidR="00152EEA" w:rsidRPr="00975F71" w:rsidRDefault="00152EEA" w:rsidP="00152EE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rFonts w:cs="Calibri"/>
                <w:i/>
                <w:color w:val="000000"/>
                <w:sz w:val="20"/>
                <w:szCs w:val="20"/>
                <w:lang w:eastAsia="pl-PL"/>
              </w:rPr>
              <w:t xml:space="preserve">Liczba szkół, których pracownie przedmiotowe zostały doposażone w programie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FEA267F" w14:textId="2ED87C17" w:rsidR="00152EEA" w:rsidRPr="00FA2FFB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4D3AF99" w14:textId="7AD027B4" w:rsidR="00152EEA" w:rsidRPr="00FA2FFB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047C24" w14:textId="1A2954EF" w:rsidR="00152EEA" w:rsidRPr="007D3E6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F1B38B5" w14:textId="683A69FB" w:rsidR="00152EEA" w:rsidRPr="007D3E6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  <w:r w:rsidRPr="00A2566E" w:rsidDel="000735AC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25B6A78" w14:textId="47E1332B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E7B61E1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Liczba szkół dla dzieci i młodzieży (szkół podstawowych, gimnazjalnych i ponadgimnazjalnych), w tym szkół specjalnych (samodzielne i funkcjonujące w placówkach), których pracownie przedmiotowe zostały doposażone do nauczania przyrody, biologii, chemii, geografii i fizyki poprzez doświadczenia i eksperymenty.</w:t>
            </w:r>
          </w:p>
          <w:p w14:paraId="2E66A033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W ramach wskaźnika nie należy uwzględniać szkół dla dorosłych oraz przedszkoli i placówek systemu oświaty.</w:t>
            </w:r>
          </w:p>
          <w:p w14:paraId="68105AF4" w14:textId="0B39F8C3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Moment pomiaru wskaźnika rozumiany jest jako dzień dostarczenia sprzętu do szkoły.</w:t>
            </w:r>
          </w:p>
        </w:tc>
      </w:tr>
      <w:tr w:rsidR="00152EEA" w:rsidRPr="001506D8" w14:paraId="42139BC3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6E57FCFE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0917E6E" w14:textId="54F7C01E" w:rsidR="00152EEA" w:rsidRPr="00975F71" w:rsidRDefault="00152EEA" w:rsidP="00152EE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rFonts w:cs="Calibri"/>
                <w:i/>
                <w:color w:val="000000"/>
                <w:sz w:val="20"/>
                <w:szCs w:val="20"/>
                <w:lang w:eastAsia="pl-PL"/>
              </w:rPr>
              <w:t xml:space="preserve">Liczba osób pochodzących z obszarów wiejskich 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8AC1A01" w14:textId="636CD517" w:rsidR="00152EEA" w:rsidRPr="00991562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D6E5C3F" w14:textId="2FD3EAA6" w:rsidR="00152EEA" w:rsidRPr="007D3E62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DD5CC75" w14:textId="259C4ABD" w:rsidR="00152EEA" w:rsidRPr="007D3E6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4E1169D0" w14:textId="35821B59" w:rsidR="00152EEA" w:rsidRPr="007D3E6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  <w:r w:rsidRPr="00A2566E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D152B14" w14:textId="08B6BBBC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Wskaźnik z Ram wykonania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4F298DA7" w14:textId="77777777" w:rsidR="00152EEA" w:rsidRPr="00A2566E" w:rsidRDefault="00152EEA" w:rsidP="00152EEA">
            <w:pPr>
              <w:ind w:left="7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>Osoby pochodzące z obszarów wiejskich należy rozumieć jako osoby przebywające na obszarach słabo zaludnionych zgodnie ze stopniem urbanizacji (DEGURBA kategoria 3). Obszary słabo zaludnione to obszary, na których więcej niż 50% populacji zamieszkuje tereny wiejskie. Dane w ramach wskaźnika będą wykazane tylko raz w 2017 r.</w:t>
            </w:r>
          </w:p>
          <w:p w14:paraId="082C1B4F" w14:textId="77777777" w:rsidR="00152EEA" w:rsidRPr="00A2566E" w:rsidRDefault="00152EEA" w:rsidP="00152EEA">
            <w:pPr>
              <w:ind w:left="7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 xml:space="preserve">Uczestnik może charakteryzować się kilkoma cechami wskazującymi na szczególną sytuację. </w:t>
            </w:r>
          </w:p>
          <w:p w14:paraId="1F205ECC" w14:textId="77777777" w:rsidR="00152EEA" w:rsidRDefault="00152EEA" w:rsidP="00152EEA">
            <w:pPr>
              <w:ind w:left="7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 xml:space="preserve">Dane będą gromadzone na podstawie </w:t>
            </w:r>
            <w:proofErr w:type="spellStart"/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>Local</w:t>
            </w:r>
            <w:proofErr w:type="spellEnd"/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>Administrative</w:t>
            </w:r>
            <w:proofErr w:type="spellEnd"/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 xml:space="preserve"> Unit </w:t>
            </w:r>
            <w:proofErr w:type="spellStart"/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>level</w:t>
            </w:r>
            <w:proofErr w:type="spellEnd"/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 xml:space="preserve"> of LAU 2 (lokalna administracja/gminy). Kategoria 3 DEGURBY powinna być określana na podstawie:</w:t>
            </w:r>
          </w:p>
          <w:p w14:paraId="37E17B52" w14:textId="77777777" w:rsidR="00152EEA" w:rsidRPr="00A2566E" w:rsidRDefault="00152EEA" w:rsidP="00152EEA">
            <w:pPr>
              <w:ind w:left="72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2566E">
              <w:rPr>
                <w:rFonts w:eastAsia="Times New Roman" w:cs="Calibri"/>
                <w:sz w:val="20"/>
                <w:szCs w:val="20"/>
                <w:lang w:eastAsia="pl-PL"/>
              </w:rPr>
              <w:t xml:space="preserve">http://ec.europa.eu/eurostat/ramon/miscellaneous/index.cfm?TargetUrl=DSP_DEGURBA  tabela z nagłówkiem "dla roku odniesienia 2012". </w:t>
            </w:r>
          </w:p>
          <w:p w14:paraId="002261EE" w14:textId="6044D001" w:rsidR="00152EEA" w:rsidRPr="00152EEA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A2566E">
              <w:rPr>
                <w:rFonts w:eastAsia="Times New Roman" w:cs="Calibri"/>
                <w:sz w:val="20"/>
                <w:szCs w:val="20"/>
                <w:lang w:val="en-US" w:eastAsia="pl-PL"/>
              </w:rPr>
              <w:t>Źródło</w:t>
            </w:r>
            <w:proofErr w:type="spellEnd"/>
            <w:r w:rsidRPr="00A2566E">
              <w:rPr>
                <w:rFonts w:eastAsia="Times New Roman" w:cs="Calibri"/>
                <w:sz w:val="20"/>
                <w:szCs w:val="20"/>
                <w:lang w:val="en-US" w:eastAsia="pl-PL"/>
              </w:rPr>
              <w:t xml:space="preserve">: </w:t>
            </w:r>
            <w:hyperlink r:id="rId8" w:history="1">
              <w:r w:rsidRPr="00A2566E">
                <w:rPr>
                  <w:rFonts w:eastAsia="Times New Roman" w:cs="Calibri"/>
                  <w:color w:val="0000FF"/>
                  <w:sz w:val="20"/>
                  <w:szCs w:val="20"/>
                  <w:u w:val="single"/>
                  <w:lang w:val="en-US" w:eastAsia="pl-PL"/>
                </w:rPr>
                <w:t>http://epp.eurostat.ec.europa.eu/portal/page/portal/degree_urbanisation/introduction</w:t>
              </w:r>
            </w:hyperlink>
            <w:r w:rsidRPr="00A2566E">
              <w:rPr>
                <w:rFonts w:eastAsia="Times New Roman" w:cs="Calibri"/>
                <w:sz w:val="20"/>
                <w:szCs w:val="20"/>
                <w:lang w:val="en-US" w:eastAsia="pl-PL"/>
              </w:rPr>
              <w:t xml:space="preserve"> </w:t>
            </w:r>
            <w:hyperlink r:id="rId9" w:history="1">
              <w:r w:rsidRPr="00A2566E">
                <w:rPr>
                  <w:rFonts w:eastAsia="Times New Roman" w:cs="Calibri"/>
                  <w:color w:val="0000FF"/>
                  <w:sz w:val="20"/>
                  <w:szCs w:val="20"/>
                  <w:u w:val="single"/>
                  <w:lang w:val="en-US" w:eastAsia="pl-PL"/>
                </w:rPr>
                <w:t>http://ec.europa.eu/eurostat/ramon/documents/DEGURBA/DEGURBA_Methodology_DG_REGIO.zip</w:t>
              </w:r>
            </w:hyperlink>
            <w:r w:rsidRPr="00A2566E">
              <w:rPr>
                <w:rFonts w:eastAsia="Times New Roman" w:cs="Calibri"/>
                <w:sz w:val="20"/>
                <w:szCs w:val="20"/>
                <w:lang w:val="en-US" w:eastAsia="pl-PL"/>
              </w:rPr>
              <w:t xml:space="preserve">  (DEGURBA methodology) </w:t>
            </w:r>
          </w:p>
        </w:tc>
      </w:tr>
      <w:tr w:rsidR="00152EEA" w:rsidRPr="00C93A1D" w14:paraId="4D6FE585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5177CCAE" w14:textId="50685495" w:rsidR="00152EEA" w:rsidRPr="00152EEA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  <w:lang w:val="en-US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BF40FA4" w14:textId="72DD501C" w:rsidR="00152EEA" w:rsidRPr="00975F71" w:rsidRDefault="00152EEA" w:rsidP="00152EEA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>Liczba nauczycieli pochodzących z obszarów wiejskich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D08FE03" w14:textId="3DE5994D" w:rsidR="00152EEA" w:rsidRPr="00FE558E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D05A79C" w14:textId="51C38E74" w:rsidR="00152EEA" w:rsidRPr="00FC63DC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CFBE271" w14:textId="75F1801F" w:rsidR="00152EEA" w:rsidRPr="00254FF1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62AC991" w14:textId="727416CF" w:rsidR="00152EEA" w:rsidRPr="00FC63DC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  <w:r w:rsidRPr="00A2566E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C4A0E9C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Wskaźnik powiązany </w:t>
            </w:r>
            <w:r w:rsidRPr="00A2566E">
              <w:rPr>
                <w:sz w:val="20"/>
                <w:szCs w:val="20"/>
              </w:rPr>
              <w:br/>
              <w:t xml:space="preserve">z wskaźnikiem </w:t>
            </w:r>
          </w:p>
          <w:p w14:paraId="401F7467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 xml:space="preserve">Liczba osób pochodzących </w:t>
            </w:r>
          </w:p>
          <w:p w14:paraId="32838237" w14:textId="11C16578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i/>
                <w:sz w:val="20"/>
                <w:szCs w:val="20"/>
              </w:rPr>
              <w:t>z obszarów wiejskich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7A2736D8" w14:textId="16000B11" w:rsidR="00152EEA" w:rsidRPr="00C93A1D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Osoby pochodzące z obszarów wiejskich </w:t>
            </w:r>
            <w:r>
              <w:rPr>
                <w:rFonts w:cs="Arial"/>
                <w:sz w:val="20"/>
                <w:szCs w:val="20"/>
              </w:rPr>
              <w:t xml:space="preserve">rozumiane jak we wskaźniku </w:t>
            </w:r>
            <w:r w:rsidRPr="00A2566E">
              <w:rPr>
                <w:i/>
                <w:sz w:val="20"/>
                <w:szCs w:val="20"/>
              </w:rPr>
              <w:t xml:space="preserve">Liczba </w:t>
            </w:r>
            <w:r>
              <w:rPr>
                <w:i/>
                <w:sz w:val="20"/>
                <w:szCs w:val="20"/>
              </w:rPr>
              <w:t>osób</w:t>
            </w:r>
            <w:r w:rsidRPr="00A2566E">
              <w:rPr>
                <w:i/>
                <w:sz w:val="20"/>
                <w:szCs w:val="20"/>
              </w:rPr>
              <w:t xml:space="preserve"> pochodzących z obszarów wiejskich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152EEA" w:rsidRPr="00C93A1D" w14:paraId="3DDF875E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312CF088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4146D45" w14:textId="3A1C9135" w:rsidR="00152EEA" w:rsidRPr="00A229B6" w:rsidRDefault="00152EEA" w:rsidP="00152EEA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cs="Arial"/>
                <w:i/>
              </w:rPr>
            </w:pPr>
            <w:r w:rsidRPr="00A2566E">
              <w:rPr>
                <w:i/>
              </w:rPr>
              <w:t>Liczba uczniów pochodzących z obszarów wiejskich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EB0BE11" w14:textId="6B5843A0" w:rsidR="00152EEA" w:rsidRPr="00FE6144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D786F64" w14:textId="6117AFE7" w:rsidR="00152EEA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056014E" w14:textId="5195525C" w:rsidR="00152EEA" w:rsidRPr="00254FF1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E7CED17" w14:textId="64EAF069" w:rsidR="00152EEA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  <w:r w:rsidRPr="00A2566E" w:rsidDel="00073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5BA5F4A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 xml:space="preserve">Wskaźnik powiązany </w:t>
            </w:r>
            <w:r w:rsidRPr="00A2566E">
              <w:rPr>
                <w:sz w:val="20"/>
                <w:szCs w:val="20"/>
              </w:rPr>
              <w:br/>
              <w:t xml:space="preserve">z wskaźnikiem </w:t>
            </w:r>
          </w:p>
          <w:p w14:paraId="09E68CD4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 xml:space="preserve">Liczba osób pochodzących </w:t>
            </w:r>
          </w:p>
          <w:p w14:paraId="49A090CD" w14:textId="6CB546B4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i/>
                <w:sz w:val="20"/>
                <w:szCs w:val="20"/>
              </w:rPr>
              <w:t>z obszarów wiejskich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2FDFF5A5" w14:textId="4CFACE12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Osoby pochodzące z obszarów wiejskich </w:t>
            </w:r>
            <w:r>
              <w:rPr>
                <w:rFonts w:cs="Arial"/>
                <w:sz w:val="20"/>
                <w:szCs w:val="20"/>
              </w:rPr>
              <w:t xml:space="preserve">rozumiane jak we wskaźniku </w:t>
            </w:r>
            <w:r w:rsidRPr="00A2566E">
              <w:rPr>
                <w:i/>
                <w:sz w:val="20"/>
                <w:szCs w:val="20"/>
              </w:rPr>
              <w:t xml:space="preserve">Liczba </w:t>
            </w:r>
            <w:r>
              <w:rPr>
                <w:i/>
                <w:sz w:val="20"/>
                <w:szCs w:val="20"/>
              </w:rPr>
              <w:t>osób</w:t>
            </w:r>
            <w:r w:rsidRPr="00A2566E">
              <w:rPr>
                <w:i/>
                <w:sz w:val="20"/>
                <w:szCs w:val="20"/>
              </w:rPr>
              <w:t xml:space="preserve"> pochodzących z obszarów wiejskich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152EEA" w:rsidRPr="00C93A1D" w14:paraId="6738DE23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756ED845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386BC694" w14:textId="0D0F0EEB" w:rsidR="00152EEA" w:rsidRPr="00A229B6" w:rsidRDefault="00152EEA" w:rsidP="00152EEA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cs="Arial"/>
                <w:i/>
              </w:rPr>
            </w:pPr>
            <w:r w:rsidRPr="00A2566E">
              <w:rPr>
                <w:i/>
              </w:rPr>
              <w:t>Liczba szkół i placówek systemu oświaty objętych wsparciem w ramach programu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9ADEAD1" w14:textId="6A118423" w:rsidR="00152EEA" w:rsidRPr="00FE6144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0161F9B" w14:textId="56B244A1" w:rsidR="00152EEA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BC74252" w14:textId="623F369D" w:rsidR="00152EEA" w:rsidRPr="00254FF1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1648026F" w14:textId="76D12149" w:rsidR="00152EEA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3920A1B" w14:textId="4C6A0237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55B882A8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Liczba szkół podstawowych, gimnazjalnych i ponadgimnazjalnych dla dzieci i młodzieży, w tym szkół specjalnych (samodzielne i funkcjonujące w placówkach) oraz placówek systemu oświaty (zgodnie z ustawą z dnia 7 września 1991 r. o systemie oświaty)  objętych wsparciem w ramach projektów.</w:t>
            </w:r>
            <w:r w:rsidRPr="00A2566E">
              <w:rPr>
                <w:sz w:val="20"/>
                <w:szCs w:val="20"/>
              </w:rPr>
              <w:t xml:space="preserve"> </w:t>
            </w:r>
          </w:p>
          <w:p w14:paraId="749A86F8" w14:textId="22794598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Za moment pomiaru wskaźnika należy uznać datę podpisania umowy o dofinansowanie projektu.</w:t>
            </w:r>
          </w:p>
        </w:tc>
      </w:tr>
      <w:tr w:rsidR="00152EEA" w:rsidRPr="00C93A1D" w14:paraId="18F52DE9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46F960AB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7FE60B4" w14:textId="50A22E13" w:rsidR="00152EEA" w:rsidRPr="00A229B6" w:rsidRDefault="00152EEA" w:rsidP="00152EEA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cs="Arial"/>
                <w:i/>
              </w:rPr>
            </w:pPr>
            <w:r w:rsidRPr="00A2566E">
              <w:rPr>
                <w:i/>
              </w:rPr>
              <w:t>Liczba uczniów ze specjalnymi potrzebami edukacyjnymi objęta wsparciem w procesie indywidualizacji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4D0B867" w14:textId="2360FE01" w:rsidR="00152EEA" w:rsidRPr="00FE6144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63F072E" w14:textId="405B977F" w:rsidR="00152EEA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035FA7" w14:textId="7F04E656" w:rsidR="00152EEA" w:rsidRPr="00254FF1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B7971E4" w14:textId="3CCA0094" w:rsidR="00152EEA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D132B24" w14:textId="038AB920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44C5C419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Liczba uczniów szkół (podstawowych, gimnazjalnych) ze specjalnymi potrzebami edukacyjnymi, których objęto działaniami dot. indywidualizacji pracy z uczniem w ramach projektu (wsparcie uczniów ze specjalnymi potrzebami edukacyjnymi, w tym uczniów młodszych w ramach zajęć uzupełniających ofertę szkoły lub placówki systemu oświaty). </w:t>
            </w:r>
          </w:p>
          <w:p w14:paraId="636AF2E5" w14:textId="7200C7D3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Za moment pomiaru wskaźnika należy przyjąć rozpoczęcie uczestnictwa ucznia w ramach zajęć projektowych.</w:t>
            </w:r>
          </w:p>
        </w:tc>
      </w:tr>
      <w:tr w:rsidR="00152EEA" w:rsidRPr="00C93A1D" w14:paraId="2DB11803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178F4651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E895B4D" w14:textId="251F8DC2" w:rsidR="00152EEA" w:rsidRPr="00A229B6" w:rsidRDefault="00152EEA" w:rsidP="00152EEA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cs="Arial"/>
                <w:i/>
              </w:rPr>
            </w:pPr>
            <w:r w:rsidRPr="00A2566E">
              <w:rPr>
                <w:i/>
              </w:rPr>
              <w:t>Liczba utworzonych Szkolnych Punktów Informacji i Kariery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6809CEC" w14:textId="52C22E0F" w:rsidR="00152EEA" w:rsidRPr="00FE6144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szt.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F10DEA1" w14:textId="56C16F87" w:rsidR="00152EEA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539989C" w14:textId="1CFE1AC7" w:rsidR="00152EEA" w:rsidRPr="00254FF1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DA07581" w14:textId="0BFDD305" w:rsidR="00152EEA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FC8D818" w14:textId="2802193C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2716B882" w14:textId="486770F2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Liczba nowo utworzonych w ramach projektów Szkolnych Punktów Informacji i Kariery w szkołach objętych wsparciem w programie. Za moment pomiaru wskaźnika należy uznać rozpoczęcie działalności Szkolnego Punktu.</w:t>
            </w:r>
          </w:p>
        </w:tc>
      </w:tr>
      <w:tr w:rsidR="00152EEA" w:rsidRPr="00C93A1D" w14:paraId="727F55C0" w14:textId="77777777" w:rsidTr="00423B1F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0BDF9C77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C823CBA" w14:textId="0C953E08" w:rsidR="00152EEA" w:rsidRPr="00A229B6" w:rsidRDefault="00152EEA" w:rsidP="00152EEA">
            <w:pPr>
              <w:pStyle w:val="Akapitzlist"/>
              <w:tabs>
                <w:tab w:val="left" w:pos="142"/>
              </w:tabs>
              <w:autoSpaceDE w:val="0"/>
              <w:autoSpaceDN w:val="0"/>
              <w:adjustRightInd w:val="0"/>
              <w:ind w:left="5"/>
              <w:rPr>
                <w:i/>
              </w:rPr>
            </w:pPr>
            <w:r w:rsidRPr="00A2566E">
              <w:rPr>
                <w:i/>
              </w:rPr>
              <w:t>Liczba osób, które uzyskały kwalifikacje doradcy edukacyjno-zawodowego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B606796" w14:textId="51457D04" w:rsidR="00152EEA" w:rsidRPr="002967AA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C72D24A" w14:textId="4C9789EB" w:rsidR="00152EEA" w:rsidRPr="00F05A86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FA30D4" w14:textId="5ACB8949" w:rsidR="00152EEA" w:rsidRPr="00F95885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8302DF2" w14:textId="40160970" w:rsidR="00152EEA" w:rsidRPr="001B673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B5FA3B5" w14:textId="28952FB3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6A17A5CE" w14:textId="77777777" w:rsidR="00152EEA" w:rsidRPr="00A2566E" w:rsidRDefault="00152EEA" w:rsidP="00152EEA">
            <w:pPr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W ramach wskaźnika, brane będzie pod uwagę uzyskiwanie kwalifikacji doradców edukacyjno-zawodowych przez osoby realizujące zadania z zakresu doradztwa </w:t>
            </w:r>
            <w:proofErr w:type="spellStart"/>
            <w:r w:rsidRPr="00A2566E">
              <w:rPr>
                <w:rFonts w:cs="Arial"/>
                <w:sz w:val="20"/>
                <w:szCs w:val="20"/>
              </w:rPr>
              <w:t>edukacyjno</w:t>
            </w:r>
            <w:proofErr w:type="spellEnd"/>
            <w:r w:rsidRPr="00A2566E">
              <w:rPr>
                <w:rFonts w:cs="Arial"/>
                <w:sz w:val="20"/>
                <w:szCs w:val="20"/>
              </w:rPr>
              <w:t xml:space="preserve"> - zawodowego w szkołach i placówkach, które nie posiadają kwalifikacji z tego zakresu</w:t>
            </w:r>
            <w:r>
              <w:rPr>
                <w:rFonts w:cs="Arial"/>
                <w:sz w:val="20"/>
                <w:szCs w:val="20"/>
              </w:rPr>
              <w:t>.</w:t>
            </w:r>
            <w:r w:rsidRPr="00A2566E">
              <w:rPr>
                <w:rFonts w:cs="Arial"/>
                <w:sz w:val="20"/>
                <w:szCs w:val="20"/>
              </w:rPr>
              <w:t xml:space="preserve"> </w:t>
            </w:r>
          </w:p>
          <w:p w14:paraId="2840CDF1" w14:textId="77777777" w:rsidR="00152EEA" w:rsidRPr="00A2566E" w:rsidRDefault="00152EEA" w:rsidP="00152EEA">
            <w:pPr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Uzyskanie kwalifikacji musi zostać poświadczone odpowiednim dokumentem. </w:t>
            </w:r>
          </w:p>
          <w:p w14:paraId="4F184E44" w14:textId="592964ED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Za moment pomiaru należy przyjąć zakończenie udzielania wsparcia uczestnikom </w:t>
            </w:r>
          </w:p>
        </w:tc>
      </w:tr>
      <w:tr w:rsidR="00152EEA" w:rsidRPr="00C93A1D" w14:paraId="55D3D17A" w14:textId="77777777" w:rsidTr="00423B1F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24A3669E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BA47DC9" w14:textId="55DE561E" w:rsidR="00152EEA" w:rsidRPr="00A229B6" w:rsidRDefault="00152EEA" w:rsidP="00152EE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>Liczba osób, które podniosły swoje kwalifikacje w zakresie doradztwa edukacyjno-zawodowego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07A5F4F" w14:textId="3FC094E2" w:rsidR="00152EEA" w:rsidRPr="00991562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1A74AFD" w14:textId="10BD6A62" w:rsidR="00152EEA" w:rsidRPr="00F05A86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produkt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F4BE54" w14:textId="172D7C40" w:rsidR="00152EEA" w:rsidRPr="00F95885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pomocniczy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D365E00" w14:textId="0E011DEA" w:rsidR="00152EEA" w:rsidRPr="001B673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specyficzny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9C11CC4" w14:textId="0A443868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5E03DCA9" w14:textId="77777777" w:rsidR="00152EEA" w:rsidRPr="00A2566E" w:rsidRDefault="00152EEA" w:rsidP="00152EEA">
            <w:pPr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W ramach wskaźnika, brane będzie pod uwagę podnoszenie kwalifikacji doradców </w:t>
            </w:r>
            <w:proofErr w:type="spellStart"/>
            <w:r w:rsidRPr="00A2566E">
              <w:rPr>
                <w:rFonts w:cs="Arial"/>
                <w:sz w:val="20"/>
                <w:szCs w:val="20"/>
              </w:rPr>
              <w:t>edukacyjno</w:t>
            </w:r>
            <w:proofErr w:type="spellEnd"/>
            <w:r w:rsidRPr="00A2566E">
              <w:rPr>
                <w:rFonts w:cs="Arial"/>
                <w:sz w:val="20"/>
                <w:szCs w:val="20"/>
              </w:rPr>
              <w:t xml:space="preserve"> - zawodowych, realizujących zadania z zakresu doradztwa </w:t>
            </w:r>
            <w:proofErr w:type="spellStart"/>
            <w:r w:rsidRPr="00A2566E">
              <w:rPr>
                <w:rFonts w:cs="Arial"/>
                <w:sz w:val="20"/>
                <w:szCs w:val="20"/>
              </w:rPr>
              <w:t>edukacyjno</w:t>
            </w:r>
            <w:proofErr w:type="spellEnd"/>
            <w:r w:rsidRPr="00A2566E">
              <w:rPr>
                <w:rFonts w:cs="Arial"/>
                <w:sz w:val="20"/>
                <w:szCs w:val="20"/>
              </w:rPr>
              <w:t xml:space="preserve"> - zawodowego w szkołach. </w:t>
            </w:r>
          </w:p>
          <w:p w14:paraId="5535351B" w14:textId="77777777" w:rsidR="00152EEA" w:rsidRPr="00A2566E" w:rsidRDefault="00152EEA" w:rsidP="00152EEA">
            <w:pPr>
              <w:ind w:left="34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Podniesienie kwalifikacji musi zostać poświadczone odpowiednim dokumentem. </w:t>
            </w:r>
          </w:p>
          <w:p w14:paraId="50793ADB" w14:textId="7543345B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Za moment pomiaru należy przyjąć zakończenie udzielania wsparcia uczestnikom.</w:t>
            </w:r>
          </w:p>
        </w:tc>
      </w:tr>
      <w:tr w:rsidR="00152EEA" w:rsidRPr="00C93A1D" w14:paraId="661944BF" w14:textId="77777777" w:rsidTr="00423B1F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48A11823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727C084" w14:textId="63462546" w:rsidR="00152EEA" w:rsidRPr="00A229B6" w:rsidRDefault="00152EEA" w:rsidP="00152EE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  <w:lang w:eastAsia="pl-PL"/>
              </w:rPr>
              <w:t>Liczba nauczycieli, którzy uzyskali kwalifikacje lub nabyli kompetencje po opuszczeniu programu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B1184EE" w14:textId="43B404A3" w:rsidR="00152EEA" w:rsidRPr="00991562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A259DC3" w14:textId="0D7CE218" w:rsidR="00152EEA" w:rsidRPr="00F05A86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22330F" w14:textId="451807DA" w:rsidR="00152EEA" w:rsidRPr="00F95885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B0D8B88" w14:textId="70CB8D0B" w:rsidR="00152EEA" w:rsidRPr="001B673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1AECC61" w14:textId="261DB777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5D141D41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Osoby, które otrzymały wsparcie Europejskiego Funduszu Społecznego i uzyskały kwalifikacje po opuszczeniu projektu. Kwalifikacje należy rozumieć jako formalny wynik oceny </w:t>
            </w:r>
            <w:r w:rsidRPr="00A2566E">
              <w:rPr>
                <w:rFonts w:cs="Arial"/>
                <w:sz w:val="20"/>
                <w:szCs w:val="20"/>
              </w:rPr>
              <w:br/>
              <w:t>i walidacji, który uzyskuje się w sytuacji, kiedy właściwy organ uznaje, że dana osoba osiągnęła efekty uczenia się spełniające określone standardy.</w:t>
            </w:r>
          </w:p>
          <w:p w14:paraId="67B33C53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Wskaźnik mierzony do czterech tygodni od zakończenia przez uczestnika udziału w projekcie.</w:t>
            </w:r>
          </w:p>
          <w:p w14:paraId="621E23B4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Źródło: Komisja Europejska, Europejskie Ramy Kwalifikacji http://ec.europa.eu/eqf/terms_en.htm</w:t>
            </w:r>
          </w:p>
          <w:p w14:paraId="394C8B48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Sformułowania zapisane kursywą są identyczne z definicją Europejskich Ram Kwalifikacji. Wskaźnik ten może być rozbity między poziomami ISCED i EQF, przy czym rejestruje się najwyższy osiągnięty wynik. Wykazywać należy wyłącznie kwalifikacje osiągnięte w wyniku operacji Europejskiego Funduszu Społecznego. Powinny one być zgłaszane tylko raz dla uczestnika/projektu. Fakt nabycia kompetencji będzie weryfikowany w ramach następujących etapów:</w:t>
            </w:r>
          </w:p>
          <w:p w14:paraId="4888094B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a) ETAP I – Zakres – </w:t>
            </w:r>
            <w:r>
              <w:rPr>
                <w:rFonts w:cs="Arial"/>
                <w:sz w:val="20"/>
                <w:szCs w:val="20"/>
              </w:rPr>
              <w:t xml:space="preserve">zdefiniowanie w ramach wniosku </w:t>
            </w:r>
            <w:r>
              <w:rPr>
                <w:rFonts w:cs="Arial"/>
                <w:sz w:val="20"/>
                <w:szCs w:val="20"/>
              </w:rPr>
              <w:br/>
            </w:r>
            <w:r w:rsidRPr="00A2566E">
              <w:rPr>
                <w:rFonts w:cs="Arial"/>
                <w:sz w:val="20"/>
                <w:szCs w:val="20"/>
              </w:rPr>
              <w:t>o dofinansowanie lub w regulaminie konkursu grupy docelowej do</w:t>
            </w:r>
          </w:p>
          <w:p w14:paraId="25D96EAB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objęcia wsparciem oraz wybranie obszaru interwencji EFS, który będzie poddany ocenie,</w:t>
            </w:r>
          </w:p>
          <w:p w14:paraId="21776998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b) ETAP II – Wzorzec – zdefiniowanie we wniosku o dofinansowanie lub w regulaminie konkursu standardu wymagań, tj. efektów uczenia się, które osiągną uczestnicy w wyniku przeprowadzonych działań projektowych,</w:t>
            </w:r>
          </w:p>
          <w:p w14:paraId="7D1AAD07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c) ETAP III – Ocena – przeprowadzenie weryfikacji na podstawie opracowanych kryteriów oceny po zakońc</w:t>
            </w:r>
            <w:r>
              <w:rPr>
                <w:rFonts w:cs="Arial"/>
                <w:sz w:val="20"/>
                <w:szCs w:val="20"/>
              </w:rPr>
              <w:t xml:space="preserve">zeniu </w:t>
            </w:r>
            <w:r w:rsidRPr="00A2566E">
              <w:rPr>
                <w:rFonts w:cs="Arial"/>
                <w:sz w:val="20"/>
                <w:szCs w:val="20"/>
              </w:rPr>
              <w:t>wsparcia udzielanego danej osobie,</w:t>
            </w:r>
          </w:p>
          <w:p w14:paraId="036CEA52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d) ETAP IV – Porównanie – porównanie uzyskanych wyników etapu III (ocena) z przy</w:t>
            </w:r>
            <w:r>
              <w:rPr>
                <w:rFonts w:cs="Arial"/>
                <w:sz w:val="20"/>
                <w:szCs w:val="20"/>
              </w:rPr>
              <w:t xml:space="preserve">jętymi wymaganiami (określonymi </w:t>
            </w:r>
            <w:r w:rsidRPr="00A2566E">
              <w:rPr>
                <w:rFonts w:cs="Arial"/>
                <w:sz w:val="20"/>
                <w:szCs w:val="20"/>
              </w:rPr>
              <w:t>na etapie II efektami uczenia się) po zakończeniu wsparcia udzielanego danej osobie.</w:t>
            </w:r>
          </w:p>
          <w:p w14:paraId="39E37556" w14:textId="0465FA2C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Kompetencja to wyodrębniony zestaw efektów uczenia się / kształcenia. Opis kompetencji zawiera jasno określone warunki, które powinien spełniać uczestnik projektu ubiegający się </w:t>
            </w:r>
            <w:r w:rsidRPr="00A2566E">
              <w:rPr>
                <w:rFonts w:cs="Arial"/>
                <w:sz w:val="20"/>
                <w:szCs w:val="20"/>
              </w:rPr>
              <w:br/>
              <w:t>o nabycie kompetencji, tj. wyczerpującą informację o efektach uczenia się dla danej kompetencji oraz kryteria i metody ich weryfikacji. Wykazywać należy wyłącznie kwalifikacje/kompetencje osiągnięte w wyniku interwencji Europejskiego Funduszu Społecznego.</w:t>
            </w:r>
          </w:p>
        </w:tc>
      </w:tr>
      <w:tr w:rsidR="00152EEA" w:rsidRPr="00C93A1D" w14:paraId="0EA94223" w14:textId="77777777" w:rsidTr="00423B1F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10065A4B" w14:textId="00393633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5EC29981" w14:textId="14670CB4" w:rsidR="00152EEA" w:rsidRPr="00A229B6" w:rsidRDefault="00152EEA" w:rsidP="00152EE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  <w:lang w:eastAsia="pl-PL"/>
              </w:rPr>
              <w:t>Liczba uczniów, którzy nabyli kompetencje kluczowe po opuszczeniu programu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6A87D4C9" w14:textId="6914DC1F" w:rsidR="00152EEA" w:rsidRPr="00991562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7FB0493" w14:textId="16012B63" w:rsidR="00152EEA" w:rsidRPr="00F05A86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3EB6845" w14:textId="4388A3F0" w:rsidR="00152EEA" w:rsidRPr="00F95885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290C1C6C" w14:textId="3E82E54F" w:rsidR="00152EEA" w:rsidRPr="001B673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50AB30BA" w14:textId="316EED07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06B0AC09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Liczba uczniów szkół (podstawowych, gimnazjalnych </w:t>
            </w:r>
            <w:r w:rsidRPr="00A2566E">
              <w:rPr>
                <w:rFonts w:cs="Arial"/>
                <w:sz w:val="20"/>
                <w:szCs w:val="20"/>
              </w:rPr>
              <w:br/>
              <w:t xml:space="preserve">i ponadgimnazjalnych), którzy dzięki wsparciu z EFS nabyli kompetencje kluczowe w zakresie określonym w Wytycznych </w:t>
            </w:r>
            <w:r w:rsidRPr="00A2566E">
              <w:rPr>
                <w:rFonts w:cs="Arial"/>
                <w:sz w:val="20"/>
                <w:szCs w:val="20"/>
              </w:rPr>
              <w:br/>
              <w:t xml:space="preserve">w zakresie zasad realizacji przedsięwzięć z udziałem środków Europejskiego Funduszu Społecznego na lata 2014-2020 </w:t>
            </w:r>
            <w:r w:rsidRPr="00A2566E">
              <w:rPr>
                <w:rFonts w:cs="Arial"/>
                <w:sz w:val="20"/>
                <w:szCs w:val="20"/>
              </w:rPr>
              <w:br/>
              <w:t>w obszarze edukacji.</w:t>
            </w:r>
          </w:p>
          <w:p w14:paraId="42C49961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Fakt nabycia kompetencji odbywa się w oparciu o jednolite kryteria wypracowane na poziomie krajowym w ramach</w:t>
            </w:r>
          </w:p>
          <w:p w14:paraId="0B3CFC5A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następujących etapów:</w:t>
            </w:r>
          </w:p>
          <w:p w14:paraId="3DA9C191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a) ETAP I – Zakres – zdefiniowanie w ramach wniosku </w:t>
            </w:r>
            <w:r w:rsidRPr="00A2566E">
              <w:rPr>
                <w:rFonts w:cs="Arial"/>
                <w:sz w:val="20"/>
                <w:szCs w:val="20"/>
              </w:rPr>
              <w:br/>
              <w:t>o dofinansowanie lub w regulaminie konkursu grupy docelowej do</w:t>
            </w:r>
          </w:p>
          <w:p w14:paraId="3473AC59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objęcia wsparciem oraz wybranie obszaru interwencji EFS, który będzie poddany ocenie,</w:t>
            </w:r>
          </w:p>
          <w:p w14:paraId="54A78F8C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b) ETAP II – Wzorzec – zdefiniowanie we wniosku o dofinansowanie lub w regulaminie konkursu standardu wymagań, tj. efektów uczenia się, które osiągną uczestnicy w wyniku przeprowadzonych działań projektowych,</w:t>
            </w:r>
          </w:p>
          <w:p w14:paraId="3B3AD70F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c) ETAP III – Ocena – przeprowadzenie weryfikacji na podstawie opracowanych</w:t>
            </w:r>
            <w:r>
              <w:rPr>
                <w:rFonts w:cs="Arial"/>
                <w:sz w:val="20"/>
                <w:szCs w:val="20"/>
              </w:rPr>
              <w:t xml:space="preserve"> kryteriów oceny po zakończeniu </w:t>
            </w:r>
            <w:r w:rsidRPr="00A2566E">
              <w:rPr>
                <w:rFonts w:cs="Arial"/>
                <w:sz w:val="20"/>
                <w:szCs w:val="20"/>
              </w:rPr>
              <w:t>wsparcia udzielanego danej osobie,</w:t>
            </w:r>
          </w:p>
          <w:p w14:paraId="5B593530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d) ETAP IV – Porównanie – porównanie uzyskanych wyników etapu III (ocena) z przy</w:t>
            </w:r>
            <w:r>
              <w:rPr>
                <w:rFonts w:cs="Arial"/>
                <w:sz w:val="20"/>
                <w:szCs w:val="20"/>
              </w:rPr>
              <w:t xml:space="preserve">jętymi wymaganiami (określonymi </w:t>
            </w:r>
            <w:r w:rsidRPr="00A2566E">
              <w:rPr>
                <w:rFonts w:cs="Arial"/>
                <w:sz w:val="20"/>
                <w:szCs w:val="20"/>
              </w:rPr>
              <w:t>na etapie II efektami uczenia się) po zakończeniu wsparcia udzielanego danej osobie.</w:t>
            </w:r>
          </w:p>
          <w:p w14:paraId="52793313" w14:textId="085A4B02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Kompetencja to wyodrębniony zestaw efektów uczenia się / kształcenia. Opis kompetencji zawiera jasno określone warunki, które powinien spełniać uczestnik projektu ubiegający się </w:t>
            </w:r>
            <w:r w:rsidRPr="00A2566E">
              <w:rPr>
                <w:rFonts w:cs="Arial"/>
                <w:sz w:val="20"/>
                <w:szCs w:val="20"/>
              </w:rPr>
              <w:br/>
              <w:t>o nabycie kompetencji, tj. wyczerpującą informację o efektach uczenia się dla danej kompetencji oraz kryteria i metody ich weryfikacji. Wykazywać należy wyłącznie kompetencje osiągnięte</w:t>
            </w:r>
            <w:r>
              <w:rPr>
                <w:rFonts w:cs="Arial"/>
                <w:sz w:val="20"/>
                <w:szCs w:val="20"/>
              </w:rPr>
              <w:br/>
            </w:r>
            <w:r w:rsidRPr="00A2566E">
              <w:rPr>
                <w:rFonts w:cs="Arial"/>
                <w:sz w:val="20"/>
                <w:szCs w:val="20"/>
              </w:rPr>
              <w:t>w wyniku interwencji Europejskiego Funduszu Społecznego.</w:t>
            </w:r>
          </w:p>
        </w:tc>
      </w:tr>
      <w:tr w:rsidR="00152EEA" w:rsidRPr="00C93A1D" w14:paraId="6700E9F4" w14:textId="77777777" w:rsidTr="00423B1F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24D8260C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13386883" w14:textId="0856D37B" w:rsidR="00152EEA" w:rsidRPr="00A229B6" w:rsidRDefault="00152EEA" w:rsidP="00152EE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  <w:lang w:eastAsia="pl-PL"/>
              </w:rPr>
              <w:t>Liczba szkół i placówek systemu oświaty wykorzystujących sprzęt TIK do prowadzenia zajęć edukacyjnych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760E2E5F" w14:textId="2A6ED864" w:rsidR="00152EEA" w:rsidRPr="00991562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915E8FA" w14:textId="6320688D" w:rsidR="00152EEA" w:rsidRPr="00F05A86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977909" w14:textId="5EB46283" w:rsidR="00152EEA" w:rsidRPr="00F95885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60B53A4" w14:textId="70D8CF98" w:rsidR="00152EEA" w:rsidRPr="001B673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B94A0B4" w14:textId="5E24C77C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2F39B747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Liczba szkół dla dzieci i młodzieży oraz placówek systemu oświaty wykorzystujących do prowadzenia zajęć edukacyjnych sprzęt technologii informacyjno-edukacyjnych zakupiony dzięki EFS.</w:t>
            </w:r>
          </w:p>
          <w:p w14:paraId="5438F542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Wykorzystanie sprzętu TIK jest weryfikowane na reprezentatywnej próbie szkół/placówek objętych wsparciem w ramach RPO do 4 tygodni od zakończenia udziału w projekcie w ramach wizyt monitoringowy</w:t>
            </w:r>
            <w:r>
              <w:rPr>
                <w:rFonts w:cs="Arial"/>
                <w:sz w:val="20"/>
                <w:szCs w:val="20"/>
              </w:rPr>
              <w:t xml:space="preserve">ch przez pracowników Instytucji </w:t>
            </w:r>
            <w:r w:rsidRPr="00A2566E">
              <w:rPr>
                <w:rFonts w:cs="Arial"/>
                <w:sz w:val="20"/>
                <w:szCs w:val="20"/>
              </w:rPr>
              <w:t>Zarządzającej RPO lub Instytucji Pośredniczącej.</w:t>
            </w:r>
          </w:p>
          <w:p w14:paraId="6FE60955" w14:textId="2825D658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4B97">
              <w:rPr>
                <w:rFonts w:cs="Arial"/>
                <w:sz w:val="20"/>
                <w:szCs w:val="20"/>
              </w:rPr>
              <w:t xml:space="preserve">Jeśli projekt zakończy się wraz z końcem semestru letniego </w:t>
            </w:r>
            <w:r>
              <w:rPr>
                <w:rFonts w:cs="Arial"/>
                <w:sz w:val="20"/>
                <w:szCs w:val="20"/>
              </w:rPr>
              <w:br/>
            </w:r>
            <w:r w:rsidRPr="00104B97">
              <w:rPr>
                <w:rFonts w:cs="Arial"/>
                <w:sz w:val="20"/>
                <w:szCs w:val="20"/>
              </w:rPr>
              <w:t>i z obiektywnych powodów w wakacje nie będzie można dokonać pomiaru wskaźnika, okres ten może ulec zawieszeniu i pomiar wskaźnika zostanie dokonany we wrześniu w nowym roku szkolnym.</w:t>
            </w:r>
          </w:p>
        </w:tc>
      </w:tr>
      <w:tr w:rsidR="00152EEA" w:rsidRPr="00C93A1D" w14:paraId="5488AC77" w14:textId="77777777" w:rsidTr="00902971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01CD9DB7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82814CD" w14:textId="6EA48DA3" w:rsidR="00152EEA" w:rsidRPr="00A229B6" w:rsidRDefault="00152EEA" w:rsidP="00152EE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  <w:lang w:eastAsia="pl-PL"/>
              </w:rPr>
              <w:t>Liczba szkół, w których pracownie przedmiotowe wykorzystują doposażenie  do prowadzenia zajęć edukacyjnych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44B2D377" w14:textId="12D35858" w:rsidR="00152EEA" w:rsidRPr="00991562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B6768A7" w14:textId="4521FEF0" w:rsidR="00152EEA" w:rsidRPr="00F05A86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26A223" w14:textId="1BA4A920" w:rsidR="00152EEA" w:rsidRPr="00F95885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0A26FFE5" w14:textId="667B9DCB" w:rsidR="00152EEA" w:rsidRPr="001B673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533AC3E" w14:textId="486044FE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2E1B2471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Liczba szkół dla dzieci i młodzieży, w których pracownie przedmiotowe wykorzystują doposażenie zakupione dzięki EFS</w:t>
            </w:r>
          </w:p>
          <w:p w14:paraId="6251BEB1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do prowadzenia zajęć edukacyjnych z przedmiotów przyrodniczych: przyrody, biologii, chemii, geografii i fizyki.</w:t>
            </w:r>
          </w:p>
          <w:p w14:paraId="750D7C9E" w14:textId="77777777" w:rsidR="00152EEA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Wykorzystanie doposażenia jest weryfikowane na reprezentatywnej próbie szkół objętych wsparciem w ramach RPO do 4 tygodni po zakończeniu projektu w ramach wizyt monitoringowych przez pracowników Instytucji Zarządzającej RPO lub Instytucji Pośredniczącej.</w:t>
            </w:r>
          </w:p>
          <w:p w14:paraId="7A6374E7" w14:textId="21729DF4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4B97">
              <w:rPr>
                <w:rFonts w:cs="Arial"/>
                <w:sz w:val="20"/>
                <w:szCs w:val="20"/>
              </w:rPr>
              <w:t xml:space="preserve">Jeśli projekt zakończy się wraz z końcem semestru letniego </w:t>
            </w:r>
            <w:r>
              <w:rPr>
                <w:rFonts w:cs="Arial"/>
                <w:sz w:val="20"/>
                <w:szCs w:val="20"/>
              </w:rPr>
              <w:br/>
            </w:r>
            <w:r w:rsidRPr="00104B97">
              <w:rPr>
                <w:rFonts w:cs="Arial"/>
                <w:sz w:val="20"/>
                <w:szCs w:val="20"/>
              </w:rPr>
              <w:t>i z obiektywnych powodów w wakacje nie będzie można dokonać pomiaru wskaźnika, okres ten może ulec zawieszeniu i pomiar wskaźnika zostanie dokonany we wrześniu w nowym roku szkolnym.</w:t>
            </w:r>
          </w:p>
        </w:tc>
      </w:tr>
      <w:tr w:rsidR="00152EEA" w:rsidRPr="00C93A1D" w14:paraId="1D033250" w14:textId="77777777" w:rsidTr="00423B1F">
        <w:trPr>
          <w:trHeight w:val="394"/>
          <w:jc w:val="center"/>
        </w:trPr>
        <w:tc>
          <w:tcPr>
            <w:tcW w:w="596" w:type="dxa"/>
            <w:gridSpan w:val="2"/>
            <w:shd w:val="clear" w:color="auto" w:fill="auto"/>
            <w:vAlign w:val="center"/>
          </w:tcPr>
          <w:p w14:paraId="5E81A1EA" w14:textId="77777777" w:rsidR="00152EEA" w:rsidRPr="00136D60" w:rsidRDefault="00152EEA" w:rsidP="00F50AA2">
            <w:pPr>
              <w:pStyle w:val="Akapitzlist"/>
              <w:numPr>
                <w:ilvl w:val="0"/>
                <w:numId w:val="37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381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E2D8093" w14:textId="545C16E0" w:rsidR="00152EEA" w:rsidRPr="00A229B6" w:rsidRDefault="00152EEA" w:rsidP="00152EE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A2566E">
              <w:rPr>
                <w:i/>
                <w:sz w:val="20"/>
                <w:szCs w:val="20"/>
              </w:rPr>
              <w:t>Liczba uczniów, którzy nabyli kompetencje kluczowe po opuszczeniu programu</w:t>
            </w:r>
          </w:p>
        </w:tc>
        <w:tc>
          <w:tcPr>
            <w:tcW w:w="1134" w:type="dxa"/>
            <w:tcBorders>
              <w:left w:val="single" w:sz="4" w:space="0" w:color="33CC33"/>
              <w:right w:val="single" w:sz="4" w:space="0" w:color="33CC33"/>
            </w:tcBorders>
            <w:shd w:val="clear" w:color="auto" w:fill="auto"/>
            <w:vAlign w:val="center"/>
          </w:tcPr>
          <w:p w14:paraId="22AA56D4" w14:textId="00ACFCAD" w:rsidR="00152EEA" w:rsidRPr="00991562" w:rsidRDefault="00152EEA" w:rsidP="00152EEA">
            <w:pPr>
              <w:jc w:val="center"/>
              <w:rPr>
                <w:sz w:val="18"/>
                <w:szCs w:val="18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BD1CB2B" w14:textId="73B9D51A" w:rsidR="00152EEA" w:rsidRPr="00F05A86" w:rsidRDefault="00152EEA" w:rsidP="00152EEA">
            <w:pPr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A6C2DC1" w14:textId="6A46C8FB" w:rsidR="00152EEA" w:rsidRPr="00F95885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obligatoryjny</w:t>
            </w:r>
          </w:p>
        </w:tc>
        <w:tc>
          <w:tcPr>
            <w:tcW w:w="1418" w:type="dxa"/>
            <w:gridSpan w:val="2"/>
            <w:tcBorders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632405C6" w14:textId="6AAE9CA5" w:rsidR="00152EEA" w:rsidRPr="001B6732" w:rsidRDefault="00152EEA" w:rsidP="00152EEA">
            <w:pPr>
              <w:ind w:right="-206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870" w:type="dxa"/>
            <w:gridSpan w:val="2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auto"/>
            <w:vAlign w:val="center"/>
          </w:tcPr>
          <w:p w14:paraId="77FE73C3" w14:textId="1DBC3840" w:rsidR="00152EEA" w:rsidRDefault="00152EEA" w:rsidP="00152EEA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18"/>
                <w:szCs w:val="18"/>
              </w:rPr>
            </w:pPr>
            <w:r w:rsidRPr="00A2566E"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528" w:type="dxa"/>
            <w:tcBorders>
              <w:left w:val="single" w:sz="4" w:space="0" w:color="9BBB59" w:themeColor="accent3"/>
            </w:tcBorders>
            <w:shd w:val="clear" w:color="auto" w:fill="auto"/>
            <w:vAlign w:val="center"/>
          </w:tcPr>
          <w:p w14:paraId="5A1DCB8E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Liczba uczniów szkół (podstawowych, gimnazjalnych </w:t>
            </w:r>
            <w:r>
              <w:rPr>
                <w:rFonts w:cs="Arial"/>
                <w:sz w:val="20"/>
                <w:szCs w:val="20"/>
              </w:rPr>
              <w:br/>
            </w:r>
            <w:r w:rsidRPr="00A2566E">
              <w:rPr>
                <w:rFonts w:cs="Arial"/>
                <w:sz w:val="20"/>
                <w:szCs w:val="20"/>
              </w:rPr>
              <w:t>i ponadgimnazjalnych), któr</w:t>
            </w:r>
            <w:r>
              <w:rPr>
                <w:rFonts w:cs="Arial"/>
                <w:sz w:val="20"/>
                <w:szCs w:val="20"/>
              </w:rPr>
              <w:t xml:space="preserve">zy dzięki wsparciu z EFS nabyli </w:t>
            </w:r>
            <w:r w:rsidRPr="00A2566E">
              <w:rPr>
                <w:rFonts w:cs="Arial"/>
                <w:sz w:val="20"/>
                <w:szCs w:val="20"/>
              </w:rPr>
              <w:t xml:space="preserve">kompetencje kluczowe w zakresie określonym w Wytycznych </w:t>
            </w:r>
            <w:r>
              <w:rPr>
                <w:rFonts w:cs="Arial"/>
                <w:sz w:val="20"/>
                <w:szCs w:val="20"/>
              </w:rPr>
              <w:br/>
            </w:r>
            <w:r w:rsidRPr="00A2566E">
              <w:rPr>
                <w:rFonts w:cs="Arial"/>
                <w:sz w:val="20"/>
                <w:szCs w:val="20"/>
              </w:rPr>
              <w:t>w zakresie zasad real</w:t>
            </w:r>
            <w:r>
              <w:rPr>
                <w:rFonts w:cs="Arial"/>
                <w:sz w:val="20"/>
                <w:szCs w:val="20"/>
              </w:rPr>
              <w:t xml:space="preserve">izacji przedsięwzięć z udziałem </w:t>
            </w:r>
            <w:r w:rsidRPr="00A2566E">
              <w:rPr>
                <w:rFonts w:cs="Arial"/>
                <w:sz w:val="20"/>
                <w:szCs w:val="20"/>
              </w:rPr>
              <w:t>środków Europejskiego Funduszu Społecznego na lata 2014-2020 w obszarze edukacji.</w:t>
            </w:r>
          </w:p>
          <w:p w14:paraId="4416FA20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Fakt nabycia kompetencji odbywa się w oparciu o jednolite kryteria wypracowan</w:t>
            </w:r>
            <w:r>
              <w:rPr>
                <w:rFonts w:cs="Arial"/>
                <w:sz w:val="20"/>
                <w:szCs w:val="20"/>
              </w:rPr>
              <w:t xml:space="preserve">e na poziomie krajowym w ramach </w:t>
            </w:r>
            <w:r w:rsidRPr="00A2566E">
              <w:rPr>
                <w:rFonts w:cs="Arial"/>
                <w:sz w:val="20"/>
                <w:szCs w:val="20"/>
              </w:rPr>
              <w:t>następujących etapów:</w:t>
            </w:r>
          </w:p>
          <w:p w14:paraId="40867AE9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a) ETAP I – Zakres – </w:t>
            </w:r>
            <w:r>
              <w:rPr>
                <w:rFonts w:cs="Arial"/>
                <w:sz w:val="20"/>
                <w:szCs w:val="20"/>
              </w:rPr>
              <w:t xml:space="preserve">zdefiniowanie w ramach wniosku </w:t>
            </w:r>
            <w:r>
              <w:rPr>
                <w:rFonts w:cs="Arial"/>
                <w:sz w:val="20"/>
                <w:szCs w:val="20"/>
              </w:rPr>
              <w:br/>
            </w:r>
            <w:r w:rsidRPr="00A2566E">
              <w:rPr>
                <w:rFonts w:cs="Arial"/>
                <w:sz w:val="20"/>
                <w:szCs w:val="20"/>
              </w:rPr>
              <w:t>o dofinansowanie lub w regulaminie konkursu grupy docelowej do</w:t>
            </w:r>
          </w:p>
          <w:p w14:paraId="02261BF5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objęcia wsparciem oraz wybranie obszaru interwencji EFS, który będzie poddany ocenie,</w:t>
            </w:r>
          </w:p>
          <w:p w14:paraId="0B0B3B48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b) ETAP II – Wzor</w:t>
            </w:r>
            <w:r>
              <w:rPr>
                <w:rFonts w:cs="Arial"/>
                <w:sz w:val="20"/>
                <w:szCs w:val="20"/>
              </w:rPr>
              <w:t xml:space="preserve">zec – zdefiniowanie we wniosku </w:t>
            </w:r>
            <w:r w:rsidRPr="00A2566E">
              <w:rPr>
                <w:rFonts w:cs="Arial"/>
                <w:sz w:val="20"/>
                <w:szCs w:val="20"/>
              </w:rPr>
              <w:t>o dofinansowanie lub w regulaminie konkursu standardu wymagań, tj. efektów uczenia się, które osiągną uczestnicy w wyniku przeprowadzonych działań projektowych,</w:t>
            </w:r>
          </w:p>
          <w:p w14:paraId="48EDF241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c) ETAP III – Ocena – przeprowadzenie weryfikacji na podstawie opracowanych kryteriów oceny po zakończeniu wsparcia udzielanego danej osobie,</w:t>
            </w:r>
          </w:p>
          <w:p w14:paraId="6B7381D1" w14:textId="77777777" w:rsidR="00152EEA" w:rsidRPr="00A2566E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>d) ETAP IV – Porównanie – porównanie uzyskanych wyników etapu III (ocena) z przyjętymi wymagania</w:t>
            </w:r>
            <w:r>
              <w:rPr>
                <w:rFonts w:cs="Arial"/>
                <w:sz w:val="20"/>
                <w:szCs w:val="20"/>
              </w:rPr>
              <w:t xml:space="preserve">mi (określonymi </w:t>
            </w:r>
            <w:r w:rsidRPr="00A2566E">
              <w:rPr>
                <w:rFonts w:cs="Arial"/>
                <w:sz w:val="20"/>
                <w:szCs w:val="20"/>
              </w:rPr>
              <w:t>na etapie II efektami uczenia się) po zakończeniu wsparcia udzielanego danej osobie.</w:t>
            </w:r>
          </w:p>
          <w:p w14:paraId="77AC0330" w14:textId="49481427" w:rsidR="00152EEA" w:rsidRPr="007D00DC" w:rsidRDefault="00152EEA" w:rsidP="00152EEA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2566E">
              <w:rPr>
                <w:rFonts w:cs="Arial"/>
                <w:sz w:val="20"/>
                <w:szCs w:val="20"/>
              </w:rPr>
              <w:t xml:space="preserve">Kompetencja to wyodrębniony zestaw efektów uczenia się / kształcenia. Opis kompetencji zawiera jasno określone warunki, które powinien spełniać uczestnik projektu ubiegający się </w:t>
            </w:r>
            <w:r w:rsidRPr="00A2566E">
              <w:rPr>
                <w:rFonts w:cs="Arial"/>
                <w:sz w:val="20"/>
                <w:szCs w:val="20"/>
              </w:rPr>
              <w:br/>
              <w:t xml:space="preserve">o nabycie kompetencji, tj. wyczerpującą informację </w:t>
            </w:r>
            <w:r w:rsidRPr="00A2566E">
              <w:rPr>
                <w:rFonts w:cs="Arial"/>
                <w:sz w:val="20"/>
                <w:szCs w:val="20"/>
              </w:rPr>
              <w:br/>
              <w:t xml:space="preserve">o efektach uczenia się dla danej kompetencji oraz kryteria </w:t>
            </w:r>
            <w:r w:rsidRPr="00A2566E">
              <w:rPr>
                <w:rFonts w:cs="Arial"/>
                <w:sz w:val="20"/>
                <w:szCs w:val="20"/>
              </w:rPr>
              <w:br/>
              <w:t>i metody ich weryfikacji. Wykazywać należy wyłącznie kompetencje osiągnięte w wyniku interwencji Europejskiego Funduszu Społecznego.</w:t>
            </w:r>
          </w:p>
        </w:tc>
      </w:tr>
    </w:tbl>
    <w:p w14:paraId="2CB61CC5" w14:textId="1CE3384B" w:rsidR="00102FB7" w:rsidRPr="00326841" w:rsidRDefault="00102FB7">
      <w:pPr>
        <w:tabs>
          <w:tab w:val="left" w:pos="3402"/>
          <w:tab w:val="left" w:pos="5103"/>
        </w:tabs>
        <w:ind w:left="-709"/>
        <w:jc w:val="both"/>
        <w:rPr>
          <w:sz w:val="20"/>
          <w:szCs w:val="20"/>
        </w:rPr>
      </w:pPr>
    </w:p>
    <w:sectPr w:rsidR="00102FB7" w:rsidRPr="00326841" w:rsidSect="002271F7">
      <w:headerReference w:type="default" r:id="rId10"/>
      <w:footerReference w:type="default" r:id="rId11"/>
      <w:headerReference w:type="first" r:id="rId12"/>
      <w:footnotePr>
        <w:numFmt w:val="chicago"/>
      </w:footnotePr>
      <w:pgSz w:w="16838" w:h="11906" w:orient="landscape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1F16A" w14:textId="77777777" w:rsidR="00FD69C6" w:rsidRDefault="00FD69C6" w:rsidP="00A11280">
      <w:pPr>
        <w:spacing w:after="0" w:line="240" w:lineRule="auto"/>
      </w:pPr>
      <w:r>
        <w:separator/>
      </w:r>
    </w:p>
  </w:endnote>
  <w:endnote w:type="continuationSeparator" w:id="0">
    <w:p w14:paraId="2FB0BA83" w14:textId="77777777" w:rsidR="00FD69C6" w:rsidRDefault="00FD69C6" w:rsidP="00A1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79469"/>
      <w:docPartObj>
        <w:docPartGallery w:val="Page Numbers (Bottom of Page)"/>
        <w:docPartUnique/>
      </w:docPartObj>
    </w:sdtPr>
    <w:sdtEndPr/>
    <w:sdtContent>
      <w:p w14:paraId="2376BAA3" w14:textId="77777777" w:rsidR="00FD69C6" w:rsidRDefault="00FD69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6D8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1CE2B7A3" w14:textId="77777777" w:rsidR="00FD69C6" w:rsidRDefault="00FD69C6" w:rsidP="00442FE8">
    <w:pPr>
      <w:pStyle w:val="Stopka"/>
      <w:tabs>
        <w:tab w:val="clear" w:pos="4536"/>
        <w:tab w:val="clear" w:pos="9072"/>
        <w:tab w:val="left" w:pos="79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6EA45" w14:textId="77777777" w:rsidR="00FD69C6" w:rsidRDefault="00FD69C6" w:rsidP="00A11280">
      <w:pPr>
        <w:spacing w:after="0" w:line="240" w:lineRule="auto"/>
      </w:pPr>
      <w:r>
        <w:separator/>
      </w:r>
    </w:p>
  </w:footnote>
  <w:footnote w:type="continuationSeparator" w:id="0">
    <w:p w14:paraId="70E686FE" w14:textId="77777777" w:rsidR="00FD69C6" w:rsidRDefault="00FD69C6" w:rsidP="00A1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7766" w14:textId="74923238" w:rsidR="00FD69C6" w:rsidRDefault="00FD69C6" w:rsidP="00FD69C6">
    <w:pPr>
      <w:pStyle w:val="Nagwek"/>
      <w:jc w:val="right"/>
      <w:rPr>
        <w:rFonts w:eastAsiaTheme="minorEastAsia"/>
        <w:i/>
        <w:iCs/>
        <w:lang w:eastAsia="pl-PL"/>
      </w:rPr>
    </w:pPr>
    <w:r w:rsidRPr="00136D60">
      <w:rPr>
        <w:rFonts w:eastAsiaTheme="minorEastAsia"/>
        <w:i/>
        <w:iCs/>
        <w:lang w:eastAsia="pl-PL"/>
      </w:rPr>
      <w:t xml:space="preserve">Załącznik </w:t>
    </w:r>
    <w:r w:rsidR="001506D8">
      <w:rPr>
        <w:rFonts w:eastAsiaTheme="minorEastAsia"/>
        <w:i/>
        <w:iCs/>
        <w:lang w:eastAsia="pl-PL"/>
      </w:rPr>
      <w:t xml:space="preserve"> nr 13</w:t>
    </w:r>
    <w:r>
      <w:rPr>
        <w:rFonts w:eastAsiaTheme="minorEastAsia"/>
        <w:i/>
        <w:iCs/>
        <w:lang w:eastAsia="pl-PL"/>
      </w:rPr>
      <w:t xml:space="preserve"> </w:t>
    </w:r>
    <w:r w:rsidRPr="00136D60">
      <w:rPr>
        <w:rFonts w:eastAsiaTheme="minorEastAsia"/>
        <w:i/>
        <w:iCs/>
        <w:lang w:eastAsia="pl-PL"/>
      </w:rPr>
      <w:t xml:space="preserve">do </w:t>
    </w:r>
    <w:r>
      <w:rPr>
        <w:rFonts w:eastAsiaTheme="minorEastAsia"/>
        <w:i/>
        <w:iCs/>
        <w:lang w:eastAsia="pl-PL"/>
      </w:rPr>
      <w:t>Regulaminu konkursu dotyczący projektów złożonych w ramach Osi IX Wysoka jakość edukacji,</w:t>
    </w:r>
  </w:p>
  <w:p w14:paraId="32CC4398" w14:textId="77777777" w:rsidR="00FD69C6" w:rsidRPr="005815BF" w:rsidRDefault="00FD69C6" w:rsidP="00FD69C6">
    <w:pPr>
      <w:pStyle w:val="Nagwek"/>
      <w:jc w:val="right"/>
      <w:rPr>
        <w:rFonts w:ascii="Calibri" w:hAnsi="Calibri"/>
        <w:i/>
        <w:sz w:val="20"/>
      </w:rPr>
    </w:pPr>
    <w:r>
      <w:rPr>
        <w:rFonts w:eastAsiaTheme="minorEastAsia"/>
        <w:i/>
        <w:iCs/>
        <w:lang w:eastAsia="pl-PL"/>
      </w:rPr>
      <w:t xml:space="preserve"> </w:t>
    </w:r>
    <w:r w:rsidRPr="005608AF">
      <w:rPr>
        <w:rFonts w:eastAsiaTheme="minorEastAsia"/>
        <w:i/>
        <w:iCs/>
        <w:lang w:eastAsia="pl-PL"/>
      </w:rPr>
      <w:t>Działanie 9.1 Rozwój edukacji dla poddziałania 9.1.1 Wsparcie kształcenia ogólnego</w:t>
    </w:r>
    <w:r>
      <w:rPr>
        <w:rFonts w:eastAsiaTheme="minorEastAsia"/>
        <w:i/>
        <w:iCs/>
        <w:lang w:eastAsia="pl-PL"/>
      </w:rPr>
      <w:t xml:space="preserve"> w ramach RPO WO 2014-2020</w:t>
    </w:r>
  </w:p>
  <w:p w14:paraId="33BBA3AF" w14:textId="3DB45796" w:rsidR="00FD69C6" w:rsidRPr="00136D60" w:rsidRDefault="00FD69C6" w:rsidP="009A1C80">
    <w:pPr>
      <w:tabs>
        <w:tab w:val="center" w:pos="4536"/>
        <w:tab w:val="right" w:pos="9072"/>
      </w:tabs>
      <w:spacing w:after="0" w:line="240" w:lineRule="auto"/>
      <w:jc w:val="right"/>
      <w:rPr>
        <w:rFonts w:eastAsiaTheme="minorEastAsia"/>
        <w:lang w:eastAsia="pl-PL"/>
      </w:rPr>
    </w:pPr>
    <w:r>
      <w:rPr>
        <w:rFonts w:eastAsiaTheme="minorEastAsia"/>
        <w:i/>
        <w:iCs/>
        <w:lang w:eastAsia="pl-PL"/>
      </w:rPr>
      <w:t>.</w:t>
    </w:r>
  </w:p>
  <w:p w14:paraId="357B97C4" w14:textId="77777777" w:rsidR="00FD69C6" w:rsidRPr="00FC4C51" w:rsidRDefault="00FD69C6" w:rsidP="00FC4C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84169" w14:textId="69779035" w:rsidR="00FD69C6" w:rsidRDefault="00FD69C6" w:rsidP="00FD69C6">
    <w:pPr>
      <w:pStyle w:val="Nagwek"/>
      <w:jc w:val="right"/>
      <w:rPr>
        <w:rFonts w:eastAsiaTheme="minorEastAsia"/>
        <w:i/>
        <w:iCs/>
        <w:lang w:eastAsia="pl-PL"/>
      </w:rPr>
    </w:pPr>
    <w:r w:rsidRPr="00136D60">
      <w:rPr>
        <w:rFonts w:eastAsiaTheme="minorEastAsia"/>
        <w:i/>
        <w:iCs/>
        <w:lang w:eastAsia="pl-PL"/>
      </w:rPr>
      <w:t xml:space="preserve">Załącznik </w:t>
    </w:r>
    <w:r w:rsidR="001506D8">
      <w:rPr>
        <w:rFonts w:eastAsiaTheme="minorEastAsia"/>
        <w:i/>
        <w:iCs/>
        <w:lang w:eastAsia="pl-PL"/>
      </w:rPr>
      <w:t xml:space="preserve"> nr 13</w:t>
    </w:r>
    <w:r>
      <w:rPr>
        <w:rFonts w:eastAsiaTheme="minorEastAsia"/>
        <w:i/>
        <w:iCs/>
        <w:lang w:eastAsia="pl-PL"/>
      </w:rPr>
      <w:t xml:space="preserve"> </w:t>
    </w:r>
    <w:r w:rsidRPr="00136D60">
      <w:rPr>
        <w:rFonts w:eastAsiaTheme="minorEastAsia"/>
        <w:i/>
        <w:iCs/>
        <w:lang w:eastAsia="pl-PL"/>
      </w:rPr>
      <w:t xml:space="preserve">do </w:t>
    </w:r>
    <w:r>
      <w:rPr>
        <w:rFonts w:eastAsiaTheme="minorEastAsia"/>
        <w:i/>
        <w:iCs/>
        <w:lang w:eastAsia="pl-PL"/>
      </w:rPr>
      <w:t>Regulaminu konkursu dotyczący projektów złożonych w ramach Osi IX Wysoka jakość edukacji,</w:t>
    </w:r>
  </w:p>
  <w:p w14:paraId="0288950D" w14:textId="59A394BE" w:rsidR="00FD69C6" w:rsidRPr="005815BF" w:rsidRDefault="00FD69C6" w:rsidP="00FD69C6">
    <w:pPr>
      <w:pStyle w:val="Nagwek"/>
      <w:jc w:val="right"/>
      <w:rPr>
        <w:rFonts w:ascii="Calibri" w:hAnsi="Calibri"/>
        <w:i/>
        <w:sz w:val="20"/>
      </w:rPr>
    </w:pPr>
    <w:r>
      <w:rPr>
        <w:rFonts w:eastAsiaTheme="minorEastAsia"/>
        <w:i/>
        <w:iCs/>
        <w:lang w:eastAsia="pl-PL"/>
      </w:rPr>
      <w:t xml:space="preserve"> </w:t>
    </w:r>
    <w:r w:rsidRPr="005608AF">
      <w:rPr>
        <w:rFonts w:eastAsiaTheme="minorEastAsia"/>
        <w:i/>
        <w:iCs/>
        <w:lang w:eastAsia="pl-PL"/>
      </w:rPr>
      <w:t>Działanie 9.1 Rozwój edukacji dla poddziałania 9.1.1 Wsparcie kształcenia ogólnego</w:t>
    </w:r>
    <w:r>
      <w:rPr>
        <w:rFonts w:eastAsiaTheme="minorEastAsia"/>
        <w:i/>
        <w:iCs/>
        <w:lang w:eastAsia="pl-PL"/>
      </w:rPr>
      <w:t xml:space="preserve"> w ramach RPO WO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3302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4C6A"/>
    <w:multiLevelType w:val="hybridMultilevel"/>
    <w:tmpl w:val="928EE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B0EF1"/>
    <w:multiLevelType w:val="hybridMultilevel"/>
    <w:tmpl w:val="A9CC62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35993"/>
    <w:multiLevelType w:val="hybridMultilevel"/>
    <w:tmpl w:val="D7461E56"/>
    <w:lvl w:ilvl="0" w:tplc="2438C0F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231"/>
    <w:multiLevelType w:val="hybridMultilevel"/>
    <w:tmpl w:val="18B42E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523AC"/>
    <w:multiLevelType w:val="hybridMultilevel"/>
    <w:tmpl w:val="7F706C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AB67DA1"/>
    <w:multiLevelType w:val="hybridMultilevel"/>
    <w:tmpl w:val="5A723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0CA9"/>
    <w:multiLevelType w:val="hybridMultilevel"/>
    <w:tmpl w:val="8C181D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2B527F"/>
    <w:multiLevelType w:val="hybridMultilevel"/>
    <w:tmpl w:val="466AD6A2"/>
    <w:lvl w:ilvl="0" w:tplc="872C1E6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E45FF6"/>
    <w:multiLevelType w:val="hybridMultilevel"/>
    <w:tmpl w:val="B72A5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5254F"/>
    <w:multiLevelType w:val="hybridMultilevel"/>
    <w:tmpl w:val="23302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B922CB1"/>
    <w:multiLevelType w:val="hybridMultilevel"/>
    <w:tmpl w:val="99E0D076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17A7F"/>
    <w:multiLevelType w:val="hybridMultilevel"/>
    <w:tmpl w:val="928EE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9737B1"/>
    <w:multiLevelType w:val="hybridMultilevel"/>
    <w:tmpl w:val="9B64D4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F61F8"/>
    <w:multiLevelType w:val="hybridMultilevel"/>
    <w:tmpl w:val="173EF13C"/>
    <w:lvl w:ilvl="0" w:tplc="0EEA70A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226AB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6EA8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A0471"/>
    <w:multiLevelType w:val="hybridMultilevel"/>
    <w:tmpl w:val="65504B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276B66"/>
    <w:multiLevelType w:val="hybridMultilevel"/>
    <w:tmpl w:val="F07A1E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2AF7F8D"/>
    <w:multiLevelType w:val="hybridMultilevel"/>
    <w:tmpl w:val="B73AA6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0E0AC7"/>
    <w:multiLevelType w:val="hybridMultilevel"/>
    <w:tmpl w:val="72B27C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951A09"/>
    <w:multiLevelType w:val="hybridMultilevel"/>
    <w:tmpl w:val="E00020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A672D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D573EF8"/>
    <w:multiLevelType w:val="hybridMultilevel"/>
    <w:tmpl w:val="DE90F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2905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43060"/>
    <w:multiLevelType w:val="hybridMultilevel"/>
    <w:tmpl w:val="54B64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23C55"/>
    <w:multiLevelType w:val="hybridMultilevel"/>
    <w:tmpl w:val="B72A5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AC12B6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4895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B763A"/>
    <w:multiLevelType w:val="hybridMultilevel"/>
    <w:tmpl w:val="B75CD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45F70"/>
    <w:multiLevelType w:val="hybridMultilevel"/>
    <w:tmpl w:val="54B64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D46282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D5790"/>
    <w:multiLevelType w:val="hybridMultilevel"/>
    <w:tmpl w:val="FA7C2F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F36DB4"/>
    <w:multiLevelType w:val="hybridMultilevel"/>
    <w:tmpl w:val="FA7870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4252DA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B6B5E"/>
    <w:multiLevelType w:val="hybridMultilevel"/>
    <w:tmpl w:val="87B8076C"/>
    <w:lvl w:ilvl="0" w:tplc="2DC08692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B7E78"/>
    <w:multiLevelType w:val="hybridMultilevel"/>
    <w:tmpl w:val="E20EC6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5"/>
  </w:num>
  <w:num w:numId="3">
    <w:abstractNumId w:val="18"/>
  </w:num>
  <w:num w:numId="4">
    <w:abstractNumId w:val="32"/>
  </w:num>
  <w:num w:numId="5">
    <w:abstractNumId w:val="15"/>
  </w:num>
  <w:num w:numId="6">
    <w:abstractNumId w:val="31"/>
  </w:num>
  <w:num w:numId="7">
    <w:abstractNumId w:val="22"/>
  </w:num>
  <w:num w:numId="8">
    <w:abstractNumId w:val="27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33"/>
  </w:num>
  <w:num w:numId="16">
    <w:abstractNumId w:val="28"/>
  </w:num>
  <w:num w:numId="17">
    <w:abstractNumId w:val="2"/>
  </w:num>
  <w:num w:numId="18">
    <w:abstractNumId w:val="7"/>
  </w:num>
  <w:num w:numId="19">
    <w:abstractNumId w:val="29"/>
  </w:num>
  <w:num w:numId="20">
    <w:abstractNumId w:val="13"/>
  </w:num>
  <w:num w:numId="21">
    <w:abstractNumId w:val="23"/>
  </w:num>
  <w:num w:numId="22">
    <w:abstractNumId w:val="19"/>
  </w:num>
  <w:num w:numId="23">
    <w:abstractNumId w:val="36"/>
  </w:num>
  <w:num w:numId="24">
    <w:abstractNumId w:val="4"/>
  </w:num>
  <w:num w:numId="25">
    <w:abstractNumId w:val="20"/>
  </w:num>
  <w:num w:numId="26">
    <w:abstractNumId w:val="17"/>
  </w:num>
  <w:num w:numId="27">
    <w:abstractNumId w:val="30"/>
  </w:num>
  <w:num w:numId="28">
    <w:abstractNumId w:val="26"/>
  </w:num>
  <w:num w:numId="29">
    <w:abstractNumId w:val="9"/>
  </w:num>
  <w:num w:numId="30">
    <w:abstractNumId w:val="1"/>
  </w:num>
  <w:num w:numId="31">
    <w:abstractNumId w:val="25"/>
  </w:num>
  <w:num w:numId="32">
    <w:abstractNumId w:val="12"/>
  </w:num>
  <w:num w:numId="33">
    <w:abstractNumId w:val="24"/>
  </w:num>
  <w:num w:numId="34">
    <w:abstractNumId w:val="34"/>
  </w:num>
  <w:num w:numId="35">
    <w:abstractNumId w:val="6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21"/>
    <w:rsid w:val="00001E12"/>
    <w:rsid w:val="00002D26"/>
    <w:rsid w:val="00006A99"/>
    <w:rsid w:val="0001004E"/>
    <w:rsid w:val="00010EEF"/>
    <w:rsid w:val="00015EC6"/>
    <w:rsid w:val="00022220"/>
    <w:rsid w:val="0002356F"/>
    <w:rsid w:val="000252B8"/>
    <w:rsid w:val="000305AA"/>
    <w:rsid w:val="000327B4"/>
    <w:rsid w:val="00035C17"/>
    <w:rsid w:val="00036830"/>
    <w:rsid w:val="00040DFE"/>
    <w:rsid w:val="000419E2"/>
    <w:rsid w:val="00042F3A"/>
    <w:rsid w:val="00055EE7"/>
    <w:rsid w:val="00056886"/>
    <w:rsid w:val="00061708"/>
    <w:rsid w:val="000637DD"/>
    <w:rsid w:val="0006395F"/>
    <w:rsid w:val="00067170"/>
    <w:rsid w:val="00072063"/>
    <w:rsid w:val="000735AC"/>
    <w:rsid w:val="000751CE"/>
    <w:rsid w:val="000757A9"/>
    <w:rsid w:val="00083607"/>
    <w:rsid w:val="00083D75"/>
    <w:rsid w:val="00084190"/>
    <w:rsid w:val="000871B9"/>
    <w:rsid w:val="00091AF0"/>
    <w:rsid w:val="0009398B"/>
    <w:rsid w:val="00095B63"/>
    <w:rsid w:val="000A0237"/>
    <w:rsid w:val="000A529C"/>
    <w:rsid w:val="000A6A14"/>
    <w:rsid w:val="000B31A9"/>
    <w:rsid w:val="000B5FE8"/>
    <w:rsid w:val="000B61B6"/>
    <w:rsid w:val="000C3414"/>
    <w:rsid w:val="000C6AA3"/>
    <w:rsid w:val="000E1172"/>
    <w:rsid w:val="000E1828"/>
    <w:rsid w:val="000E436C"/>
    <w:rsid w:val="000E5525"/>
    <w:rsid w:val="000E7FBF"/>
    <w:rsid w:val="000F36FA"/>
    <w:rsid w:val="000F5C3F"/>
    <w:rsid w:val="001028AA"/>
    <w:rsid w:val="00102FB7"/>
    <w:rsid w:val="00110626"/>
    <w:rsid w:val="001133C2"/>
    <w:rsid w:val="00115072"/>
    <w:rsid w:val="0011616D"/>
    <w:rsid w:val="00125111"/>
    <w:rsid w:val="00131B88"/>
    <w:rsid w:val="00136D60"/>
    <w:rsid w:val="0014329F"/>
    <w:rsid w:val="001460B1"/>
    <w:rsid w:val="001506D8"/>
    <w:rsid w:val="00152EEA"/>
    <w:rsid w:val="00160878"/>
    <w:rsid w:val="00163090"/>
    <w:rsid w:val="00163314"/>
    <w:rsid w:val="0016581B"/>
    <w:rsid w:val="00176A29"/>
    <w:rsid w:val="00177222"/>
    <w:rsid w:val="00180987"/>
    <w:rsid w:val="00180A81"/>
    <w:rsid w:val="001811AE"/>
    <w:rsid w:val="00186FCC"/>
    <w:rsid w:val="001901EB"/>
    <w:rsid w:val="00191A19"/>
    <w:rsid w:val="001930AE"/>
    <w:rsid w:val="00196A28"/>
    <w:rsid w:val="00196F2C"/>
    <w:rsid w:val="001A32D2"/>
    <w:rsid w:val="001A3780"/>
    <w:rsid w:val="001A72B1"/>
    <w:rsid w:val="001B2650"/>
    <w:rsid w:val="001B2C86"/>
    <w:rsid w:val="001C196A"/>
    <w:rsid w:val="001C4092"/>
    <w:rsid w:val="001C55A8"/>
    <w:rsid w:val="001C5E23"/>
    <w:rsid w:val="001D103E"/>
    <w:rsid w:val="001D2DFD"/>
    <w:rsid w:val="001D330B"/>
    <w:rsid w:val="001D353F"/>
    <w:rsid w:val="001D3621"/>
    <w:rsid w:val="001D7CC3"/>
    <w:rsid w:val="001E01C8"/>
    <w:rsid w:val="001E3836"/>
    <w:rsid w:val="001F1D54"/>
    <w:rsid w:val="00210D3C"/>
    <w:rsid w:val="00220524"/>
    <w:rsid w:val="002218B6"/>
    <w:rsid w:val="002233DD"/>
    <w:rsid w:val="002240BB"/>
    <w:rsid w:val="002244FF"/>
    <w:rsid w:val="00226060"/>
    <w:rsid w:val="002271F7"/>
    <w:rsid w:val="00233FAE"/>
    <w:rsid w:val="0023430F"/>
    <w:rsid w:val="0025473F"/>
    <w:rsid w:val="00254FF1"/>
    <w:rsid w:val="0025646D"/>
    <w:rsid w:val="00256682"/>
    <w:rsid w:val="00261722"/>
    <w:rsid w:val="00264831"/>
    <w:rsid w:val="002672D2"/>
    <w:rsid w:val="002821A1"/>
    <w:rsid w:val="00283239"/>
    <w:rsid w:val="00292CCE"/>
    <w:rsid w:val="002948C3"/>
    <w:rsid w:val="002979FE"/>
    <w:rsid w:val="002A099C"/>
    <w:rsid w:val="002A3184"/>
    <w:rsid w:val="002A3A9C"/>
    <w:rsid w:val="002A3FC9"/>
    <w:rsid w:val="002A4384"/>
    <w:rsid w:val="002B08C1"/>
    <w:rsid w:val="002B17E2"/>
    <w:rsid w:val="002B294F"/>
    <w:rsid w:val="002B4B5A"/>
    <w:rsid w:val="002B5BE2"/>
    <w:rsid w:val="002B5D3A"/>
    <w:rsid w:val="002C1ECA"/>
    <w:rsid w:val="002C63EB"/>
    <w:rsid w:val="002C69A3"/>
    <w:rsid w:val="002C78D8"/>
    <w:rsid w:val="002D1FFD"/>
    <w:rsid w:val="002D4B7F"/>
    <w:rsid w:val="002D6BC5"/>
    <w:rsid w:val="002E5267"/>
    <w:rsid w:val="00306C54"/>
    <w:rsid w:val="00314703"/>
    <w:rsid w:val="00316A82"/>
    <w:rsid w:val="003178FB"/>
    <w:rsid w:val="00317964"/>
    <w:rsid w:val="0032277D"/>
    <w:rsid w:val="00326841"/>
    <w:rsid w:val="00327856"/>
    <w:rsid w:val="003350A1"/>
    <w:rsid w:val="0033677D"/>
    <w:rsid w:val="00340398"/>
    <w:rsid w:val="00343FA6"/>
    <w:rsid w:val="0034744E"/>
    <w:rsid w:val="00352B56"/>
    <w:rsid w:val="00356D8C"/>
    <w:rsid w:val="003660CD"/>
    <w:rsid w:val="0036612F"/>
    <w:rsid w:val="00370627"/>
    <w:rsid w:val="00372AC0"/>
    <w:rsid w:val="003744E5"/>
    <w:rsid w:val="0037457E"/>
    <w:rsid w:val="00375E59"/>
    <w:rsid w:val="00382AEC"/>
    <w:rsid w:val="003841BA"/>
    <w:rsid w:val="00393132"/>
    <w:rsid w:val="003976DA"/>
    <w:rsid w:val="003A545F"/>
    <w:rsid w:val="003A56B7"/>
    <w:rsid w:val="003A5E23"/>
    <w:rsid w:val="003A69AB"/>
    <w:rsid w:val="003B26CD"/>
    <w:rsid w:val="003B2744"/>
    <w:rsid w:val="003B4296"/>
    <w:rsid w:val="003B7E2A"/>
    <w:rsid w:val="003C02CA"/>
    <w:rsid w:val="003C27B4"/>
    <w:rsid w:val="003C4BBB"/>
    <w:rsid w:val="003C6E68"/>
    <w:rsid w:val="003D02A0"/>
    <w:rsid w:val="003D06D9"/>
    <w:rsid w:val="003D14F8"/>
    <w:rsid w:val="003D1E49"/>
    <w:rsid w:val="003D4DB5"/>
    <w:rsid w:val="003E0589"/>
    <w:rsid w:val="003E274D"/>
    <w:rsid w:val="003E2E4B"/>
    <w:rsid w:val="003E5A0C"/>
    <w:rsid w:val="004100BB"/>
    <w:rsid w:val="00411A37"/>
    <w:rsid w:val="00413B51"/>
    <w:rsid w:val="0042514A"/>
    <w:rsid w:val="00425283"/>
    <w:rsid w:val="004253A5"/>
    <w:rsid w:val="00427357"/>
    <w:rsid w:val="00430732"/>
    <w:rsid w:val="00434BAA"/>
    <w:rsid w:val="00442FE8"/>
    <w:rsid w:val="00443BDF"/>
    <w:rsid w:val="00444D52"/>
    <w:rsid w:val="004528CF"/>
    <w:rsid w:val="00453084"/>
    <w:rsid w:val="00453F91"/>
    <w:rsid w:val="00454139"/>
    <w:rsid w:val="004569A1"/>
    <w:rsid w:val="0046280F"/>
    <w:rsid w:val="0046432F"/>
    <w:rsid w:val="00465F90"/>
    <w:rsid w:val="0046649E"/>
    <w:rsid w:val="00466966"/>
    <w:rsid w:val="004672CD"/>
    <w:rsid w:val="00470F68"/>
    <w:rsid w:val="00482FB2"/>
    <w:rsid w:val="00483F5C"/>
    <w:rsid w:val="0048600E"/>
    <w:rsid w:val="00490085"/>
    <w:rsid w:val="004910A7"/>
    <w:rsid w:val="00495097"/>
    <w:rsid w:val="004A4C98"/>
    <w:rsid w:val="004A6BDC"/>
    <w:rsid w:val="004A6D13"/>
    <w:rsid w:val="004B69CE"/>
    <w:rsid w:val="004C2768"/>
    <w:rsid w:val="004C3420"/>
    <w:rsid w:val="004C666D"/>
    <w:rsid w:val="004D39D2"/>
    <w:rsid w:val="004E17B4"/>
    <w:rsid w:val="004E3ACC"/>
    <w:rsid w:val="004E7A11"/>
    <w:rsid w:val="004F3C77"/>
    <w:rsid w:val="004F6BEF"/>
    <w:rsid w:val="00501A93"/>
    <w:rsid w:val="00501C83"/>
    <w:rsid w:val="005077F3"/>
    <w:rsid w:val="005102CC"/>
    <w:rsid w:val="005129C5"/>
    <w:rsid w:val="005156EF"/>
    <w:rsid w:val="0052639C"/>
    <w:rsid w:val="00537297"/>
    <w:rsid w:val="005402FE"/>
    <w:rsid w:val="00543A97"/>
    <w:rsid w:val="0056602B"/>
    <w:rsid w:val="00567072"/>
    <w:rsid w:val="00570604"/>
    <w:rsid w:val="00573A93"/>
    <w:rsid w:val="00575F75"/>
    <w:rsid w:val="0058726C"/>
    <w:rsid w:val="00587F10"/>
    <w:rsid w:val="00596A58"/>
    <w:rsid w:val="00596D42"/>
    <w:rsid w:val="005A14AC"/>
    <w:rsid w:val="005A4085"/>
    <w:rsid w:val="005A7CB1"/>
    <w:rsid w:val="005B2FEA"/>
    <w:rsid w:val="005B504A"/>
    <w:rsid w:val="005C01D2"/>
    <w:rsid w:val="005D5F43"/>
    <w:rsid w:val="005E4353"/>
    <w:rsid w:val="005E54E5"/>
    <w:rsid w:val="005F1689"/>
    <w:rsid w:val="005F38DE"/>
    <w:rsid w:val="005F7A29"/>
    <w:rsid w:val="005F7C33"/>
    <w:rsid w:val="00601B5A"/>
    <w:rsid w:val="006041FA"/>
    <w:rsid w:val="006053E7"/>
    <w:rsid w:val="006074ED"/>
    <w:rsid w:val="00610768"/>
    <w:rsid w:val="00613B97"/>
    <w:rsid w:val="00615A30"/>
    <w:rsid w:val="00622249"/>
    <w:rsid w:val="00624C31"/>
    <w:rsid w:val="00624D16"/>
    <w:rsid w:val="006276A3"/>
    <w:rsid w:val="006322FA"/>
    <w:rsid w:val="00634313"/>
    <w:rsid w:val="00637635"/>
    <w:rsid w:val="006430D2"/>
    <w:rsid w:val="00654389"/>
    <w:rsid w:val="006545EC"/>
    <w:rsid w:val="0065570B"/>
    <w:rsid w:val="0065665B"/>
    <w:rsid w:val="006613F3"/>
    <w:rsid w:val="00663223"/>
    <w:rsid w:val="006640B4"/>
    <w:rsid w:val="00666DC8"/>
    <w:rsid w:val="006674CF"/>
    <w:rsid w:val="00672CF7"/>
    <w:rsid w:val="00680775"/>
    <w:rsid w:val="006A2401"/>
    <w:rsid w:val="006A43A9"/>
    <w:rsid w:val="006A460D"/>
    <w:rsid w:val="006A579D"/>
    <w:rsid w:val="006B6022"/>
    <w:rsid w:val="006B7DBF"/>
    <w:rsid w:val="006C77D9"/>
    <w:rsid w:val="006D2E34"/>
    <w:rsid w:val="006D356F"/>
    <w:rsid w:val="006D63E7"/>
    <w:rsid w:val="006E194D"/>
    <w:rsid w:val="006E2806"/>
    <w:rsid w:val="006E54A6"/>
    <w:rsid w:val="006E5DC7"/>
    <w:rsid w:val="006F18CC"/>
    <w:rsid w:val="006F1C8E"/>
    <w:rsid w:val="006F5F19"/>
    <w:rsid w:val="006F6464"/>
    <w:rsid w:val="006F6CF9"/>
    <w:rsid w:val="006F70FD"/>
    <w:rsid w:val="0070236E"/>
    <w:rsid w:val="00716992"/>
    <w:rsid w:val="007201CA"/>
    <w:rsid w:val="00720906"/>
    <w:rsid w:val="00720BEC"/>
    <w:rsid w:val="00723F91"/>
    <w:rsid w:val="007335DB"/>
    <w:rsid w:val="00735EAE"/>
    <w:rsid w:val="0074049A"/>
    <w:rsid w:val="00740C1F"/>
    <w:rsid w:val="00742D49"/>
    <w:rsid w:val="00757A2D"/>
    <w:rsid w:val="00760B0C"/>
    <w:rsid w:val="00761D7C"/>
    <w:rsid w:val="00762BB5"/>
    <w:rsid w:val="00774FA1"/>
    <w:rsid w:val="007754AA"/>
    <w:rsid w:val="00775B56"/>
    <w:rsid w:val="00780302"/>
    <w:rsid w:val="007815E2"/>
    <w:rsid w:val="007832FF"/>
    <w:rsid w:val="00783A8E"/>
    <w:rsid w:val="00790A97"/>
    <w:rsid w:val="0079394C"/>
    <w:rsid w:val="007A27F7"/>
    <w:rsid w:val="007A69E4"/>
    <w:rsid w:val="007B0796"/>
    <w:rsid w:val="007B3E77"/>
    <w:rsid w:val="007C41F6"/>
    <w:rsid w:val="007D00DC"/>
    <w:rsid w:val="007D0710"/>
    <w:rsid w:val="007D3E62"/>
    <w:rsid w:val="007D46E8"/>
    <w:rsid w:val="007D4C96"/>
    <w:rsid w:val="007D7F49"/>
    <w:rsid w:val="007E034D"/>
    <w:rsid w:val="007E1DB5"/>
    <w:rsid w:val="007F0A9C"/>
    <w:rsid w:val="007F6DFA"/>
    <w:rsid w:val="008001AD"/>
    <w:rsid w:val="0080142A"/>
    <w:rsid w:val="00803AA7"/>
    <w:rsid w:val="00806531"/>
    <w:rsid w:val="00811CFE"/>
    <w:rsid w:val="00813ACE"/>
    <w:rsid w:val="008172D4"/>
    <w:rsid w:val="00820327"/>
    <w:rsid w:val="008277E7"/>
    <w:rsid w:val="00831DA4"/>
    <w:rsid w:val="00833C84"/>
    <w:rsid w:val="0083699C"/>
    <w:rsid w:val="00840F98"/>
    <w:rsid w:val="008417F9"/>
    <w:rsid w:val="008428E9"/>
    <w:rsid w:val="00861566"/>
    <w:rsid w:val="00861990"/>
    <w:rsid w:val="00862EA9"/>
    <w:rsid w:val="00864E42"/>
    <w:rsid w:val="008733AB"/>
    <w:rsid w:val="00874EED"/>
    <w:rsid w:val="00881689"/>
    <w:rsid w:val="008823AA"/>
    <w:rsid w:val="00883127"/>
    <w:rsid w:val="00886B5E"/>
    <w:rsid w:val="0089055E"/>
    <w:rsid w:val="008974BB"/>
    <w:rsid w:val="008A02D7"/>
    <w:rsid w:val="008A3625"/>
    <w:rsid w:val="008C315C"/>
    <w:rsid w:val="008C4EE2"/>
    <w:rsid w:val="008C5724"/>
    <w:rsid w:val="008C59D7"/>
    <w:rsid w:val="008C63FE"/>
    <w:rsid w:val="008C6877"/>
    <w:rsid w:val="008C77BE"/>
    <w:rsid w:val="008D3403"/>
    <w:rsid w:val="008D3E47"/>
    <w:rsid w:val="008E1221"/>
    <w:rsid w:val="008E6BDD"/>
    <w:rsid w:val="008E70A7"/>
    <w:rsid w:val="008E76A3"/>
    <w:rsid w:val="008E7FF7"/>
    <w:rsid w:val="008F044A"/>
    <w:rsid w:val="008F0F56"/>
    <w:rsid w:val="008F18BC"/>
    <w:rsid w:val="008F2FEE"/>
    <w:rsid w:val="008F3B44"/>
    <w:rsid w:val="008F7815"/>
    <w:rsid w:val="00902971"/>
    <w:rsid w:val="009036F8"/>
    <w:rsid w:val="00905AC7"/>
    <w:rsid w:val="009119D4"/>
    <w:rsid w:val="00913370"/>
    <w:rsid w:val="00913791"/>
    <w:rsid w:val="00916534"/>
    <w:rsid w:val="0091660E"/>
    <w:rsid w:val="00917D52"/>
    <w:rsid w:val="00921408"/>
    <w:rsid w:val="00923DC2"/>
    <w:rsid w:val="0092434A"/>
    <w:rsid w:val="009246BE"/>
    <w:rsid w:val="00930C72"/>
    <w:rsid w:val="00944557"/>
    <w:rsid w:val="009458D9"/>
    <w:rsid w:val="0094668B"/>
    <w:rsid w:val="00953A2D"/>
    <w:rsid w:val="00957E5D"/>
    <w:rsid w:val="0096700F"/>
    <w:rsid w:val="00970072"/>
    <w:rsid w:val="00974060"/>
    <w:rsid w:val="00975F71"/>
    <w:rsid w:val="00991562"/>
    <w:rsid w:val="00992F45"/>
    <w:rsid w:val="00993E65"/>
    <w:rsid w:val="0099519F"/>
    <w:rsid w:val="00997070"/>
    <w:rsid w:val="009A1C80"/>
    <w:rsid w:val="009B1AF2"/>
    <w:rsid w:val="009B1C1D"/>
    <w:rsid w:val="009B5198"/>
    <w:rsid w:val="009B6505"/>
    <w:rsid w:val="009C4F1B"/>
    <w:rsid w:val="009C6492"/>
    <w:rsid w:val="009D29FB"/>
    <w:rsid w:val="009D760C"/>
    <w:rsid w:val="009E1752"/>
    <w:rsid w:val="009E3594"/>
    <w:rsid w:val="009E3C4A"/>
    <w:rsid w:val="009F297D"/>
    <w:rsid w:val="009F441F"/>
    <w:rsid w:val="00A0678F"/>
    <w:rsid w:val="00A11280"/>
    <w:rsid w:val="00A12330"/>
    <w:rsid w:val="00A12854"/>
    <w:rsid w:val="00A13FD0"/>
    <w:rsid w:val="00A229B6"/>
    <w:rsid w:val="00A23168"/>
    <w:rsid w:val="00A23361"/>
    <w:rsid w:val="00A26F6A"/>
    <w:rsid w:val="00A37E09"/>
    <w:rsid w:val="00A406FE"/>
    <w:rsid w:val="00A4517A"/>
    <w:rsid w:val="00A55E0F"/>
    <w:rsid w:val="00A56DCC"/>
    <w:rsid w:val="00A64913"/>
    <w:rsid w:val="00A75D3B"/>
    <w:rsid w:val="00A76BDD"/>
    <w:rsid w:val="00A83DBA"/>
    <w:rsid w:val="00A85AB9"/>
    <w:rsid w:val="00A86243"/>
    <w:rsid w:val="00A91CD6"/>
    <w:rsid w:val="00A93672"/>
    <w:rsid w:val="00A96B60"/>
    <w:rsid w:val="00A9780F"/>
    <w:rsid w:val="00AA43DC"/>
    <w:rsid w:val="00AC12E7"/>
    <w:rsid w:val="00AC22E3"/>
    <w:rsid w:val="00AC4C19"/>
    <w:rsid w:val="00AD244B"/>
    <w:rsid w:val="00AD497B"/>
    <w:rsid w:val="00AD69B8"/>
    <w:rsid w:val="00AD6A25"/>
    <w:rsid w:val="00AD7C6B"/>
    <w:rsid w:val="00AE1F0B"/>
    <w:rsid w:val="00AF2D17"/>
    <w:rsid w:val="00AF42AA"/>
    <w:rsid w:val="00B118EC"/>
    <w:rsid w:val="00B12AE2"/>
    <w:rsid w:val="00B25DDC"/>
    <w:rsid w:val="00B26A50"/>
    <w:rsid w:val="00B33396"/>
    <w:rsid w:val="00B4195E"/>
    <w:rsid w:val="00B43839"/>
    <w:rsid w:val="00B4493F"/>
    <w:rsid w:val="00B503CF"/>
    <w:rsid w:val="00B53551"/>
    <w:rsid w:val="00B60267"/>
    <w:rsid w:val="00B64A26"/>
    <w:rsid w:val="00B6688C"/>
    <w:rsid w:val="00B6775E"/>
    <w:rsid w:val="00B71412"/>
    <w:rsid w:val="00B73E4B"/>
    <w:rsid w:val="00B7446F"/>
    <w:rsid w:val="00B91714"/>
    <w:rsid w:val="00B921A1"/>
    <w:rsid w:val="00B974D2"/>
    <w:rsid w:val="00B97C67"/>
    <w:rsid w:val="00BA534A"/>
    <w:rsid w:val="00BA60AC"/>
    <w:rsid w:val="00BA6726"/>
    <w:rsid w:val="00BB0333"/>
    <w:rsid w:val="00BB0608"/>
    <w:rsid w:val="00BC1E69"/>
    <w:rsid w:val="00BC7065"/>
    <w:rsid w:val="00BC7E9A"/>
    <w:rsid w:val="00BD1880"/>
    <w:rsid w:val="00BD1A41"/>
    <w:rsid w:val="00BD38E2"/>
    <w:rsid w:val="00BD54E4"/>
    <w:rsid w:val="00BD5C87"/>
    <w:rsid w:val="00BD6CBC"/>
    <w:rsid w:val="00BD721D"/>
    <w:rsid w:val="00BE377C"/>
    <w:rsid w:val="00BE3D3B"/>
    <w:rsid w:val="00BE71DE"/>
    <w:rsid w:val="00BF36C7"/>
    <w:rsid w:val="00BF6876"/>
    <w:rsid w:val="00C16418"/>
    <w:rsid w:val="00C17C93"/>
    <w:rsid w:val="00C25BD5"/>
    <w:rsid w:val="00C3471A"/>
    <w:rsid w:val="00C36E39"/>
    <w:rsid w:val="00C374C2"/>
    <w:rsid w:val="00C37A8F"/>
    <w:rsid w:val="00C37E25"/>
    <w:rsid w:val="00C43ACD"/>
    <w:rsid w:val="00C44C0C"/>
    <w:rsid w:val="00C5569D"/>
    <w:rsid w:val="00C55929"/>
    <w:rsid w:val="00C56394"/>
    <w:rsid w:val="00C56BC1"/>
    <w:rsid w:val="00C762FB"/>
    <w:rsid w:val="00C845B1"/>
    <w:rsid w:val="00C93A1D"/>
    <w:rsid w:val="00C9500E"/>
    <w:rsid w:val="00C953C5"/>
    <w:rsid w:val="00C95762"/>
    <w:rsid w:val="00CA1A8B"/>
    <w:rsid w:val="00CA4446"/>
    <w:rsid w:val="00CB2D0B"/>
    <w:rsid w:val="00CB7564"/>
    <w:rsid w:val="00CC7854"/>
    <w:rsid w:val="00CD1A35"/>
    <w:rsid w:val="00CD70FA"/>
    <w:rsid w:val="00CE040A"/>
    <w:rsid w:val="00CF0720"/>
    <w:rsid w:val="00CF1602"/>
    <w:rsid w:val="00CF558C"/>
    <w:rsid w:val="00D01141"/>
    <w:rsid w:val="00D028C2"/>
    <w:rsid w:val="00D02C92"/>
    <w:rsid w:val="00D03DF0"/>
    <w:rsid w:val="00D07438"/>
    <w:rsid w:val="00D11990"/>
    <w:rsid w:val="00D12DE8"/>
    <w:rsid w:val="00D43689"/>
    <w:rsid w:val="00D509E2"/>
    <w:rsid w:val="00D5721C"/>
    <w:rsid w:val="00D67B61"/>
    <w:rsid w:val="00D708B3"/>
    <w:rsid w:val="00D73DC2"/>
    <w:rsid w:val="00D80AAE"/>
    <w:rsid w:val="00D822A7"/>
    <w:rsid w:val="00D8458B"/>
    <w:rsid w:val="00D957C4"/>
    <w:rsid w:val="00D95C70"/>
    <w:rsid w:val="00DA1AA6"/>
    <w:rsid w:val="00DA3986"/>
    <w:rsid w:val="00DA4D8E"/>
    <w:rsid w:val="00DC1F31"/>
    <w:rsid w:val="00DC5A06"/>
    <w:rsid w:val="00DD5135"/>
    <w:rsid w:val="00DD52AA"/>
    <w:rsid w:val="00DD5A07"/>
    <w:rsid w:val="00DD5DAB"/>
    <w:rsid w:val="00DE2EBA"/>
    <w:rsid w:val="00DE4C96"/>
    <w:rsid w:val="00DE70F2"/>
    <w:rsid w:val="00DE7165"/>
    <w:rsid w:val="00DF17CF"/>
    <w:rsid w:val="00DF24B2"/>
    <w:rsid w:val="00E01179"/>
    <w:rsid w:val="00E02D65"/>
    <w:rsid w:val="00E05C71"/>
    <w:rsid w:val="00E073DF"/>
    <w:rsid w:val="00E12508"/>
    <w:rsid w:val="00E24B1E"/>
    <w:rsid w:val="00E2777E"/>
    <w:rsid w:val="00E347C4"/>
    <w:rsid w:val="00E40BB1"/>
    <w:rsid w:val="00E41845"/>
    <w:rsid w:val="00E506BB"/>
    <w:rsid w:val="00E5099E"/>
    <w:rsid w:val="00E57E0B"/>
    <w:rsid w:val="00E640C6"/>
    <w:rsid w:val="00E64D78"/>
    <w:rsid w:val="00E65FED"/>
    <w:rsid w:val="00E73D82"/>
    <w:rsid w:val="00E76A86"/>
    <w:rsid w:val="00E82132"/>
    <w:rsid w:val="00E86251"/>
    <w:rsid w:val="00E924B5"/>
    <w:rsid w:val="00E92D8C"/>
    <w:rsid w:val="00EA0342"/>
    <w:rsid w:val="00EA5A7F"/>
    <w:rsid w:val="00EB2C78"/>
    <w:rsid w:val="00EB4C55"/>
    <w:rsid w:val="00EB68E4"/>
    <w:rsid w:val="00EC045E"/>
    <w:rsid w:val="00EC22EC"/>
    <w:rsid w:val="00EC4CA7"/>
    <w:rsid w:val="00EC508A"/>
    <w:rsid w:val="00ED0F02"/>
    <w:rsid w:val="00EE3093"/>
    <w:rsid w:val="00EE7774"/>
    <w:rsid w:val="00EF73BF"/>
    <w:rsid w:val="00F00794"/>
    <w:rsid w:val="00F03716"/>
    <w:rsid w:val="00F0471F"/>
    <w:rsid w:val="00F04E5C"/>
    <w:rsid w:val="00F05843"/>
    <w:rsid w:val="00F05A86"/>
    <w:rsid w:val="00F10D01"/>
    <w:rsid w:val="00F10E46"/>
    <w:rsid w:val="00F20335"/>
    <w:rsid w:val="00F208EB"/>
    <w:rsid w:val="00F21C17"/>
    <w:rsid w:val="00F30232"/>
    <w:rsid w:val="00F32317"/>
    <w:rsid w:val="00F33839"/>
    <w:rsid w:val="00F3485A"/>
    <w:rsid w:val="00F4137B"/>
    <w:rsid w:val="00F46F9E"/>
    <w:rsid w:val="00F4759C"/>
    <w:rsid w:val="00F50AA2"/>
    <w:rsid w:val="00F53B6A"/>
    <w:rsid w:val="00F54C3D"/>
    <w:rsid w:val="00F6180E"/>
    <w:rsid w:val="00F74401"/>
    <w:rsid w:val="00F74BA2"/>
    <w:rsid w:val="00F85A76"/>
    <w:rsid w:val="00F95885"/>
    <w:rsid w:val="00FA05CA"/>
    <w:rsid w:val="00FA1FFA"/>
    <w:rsid w:val="00FA2FFB"/>
    <w:rsid w:val="00FA6B10"/>
    <w:rsid w:val="00FB2D95"/>
    <w:rsid w:val="00FC01D2"/>
    <w:rsid w:val="00FC4736"/>
    <w:rsid w:val="00FC4B31"/>
    <w:rsid w:val="00FC4C51"/>
    <w:rsid w:val="00FC63DC"/>
    <w:rsid w:val="00FD0483"/>
    <w:rsid w:val="00FD1A2C"/>
    <w:rsid w:val="00FD3BF5"/>
    <w:rsid w:val="00FD69C6"/>
    <w:rsid w:val="00FF400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F4A888C"/>
  <w15:docId w15:val="{730BC603-C45C-438B-8B1F-A9C150F5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1280"/>
  </w:style>
  <w:style w:type="paragraph" w:styleId="Stopka">
    <w:name w:val="footer"/>
    <w:basedOn w:val="Normalny"/>
    <w:link w:val="Stopka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80"/>
  </w:style>
  <w:style w:type="paragraph" w:styleId="Tekstdymka">
    <w:name w:val="Balloon Text"/>
    <w:basedOn w:val="Normalny"/>
    <w:link w:val="TekstdymkaZnak"/>
    <w:uiPriority w:val="99"/>
    <w:semiHidden/>
    <w:unhideWhenUsed/>
    <w:rsid w:val="008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2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F3231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F32317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90A9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4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4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4AA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733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335DB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rsid w:val="007335DB"/>
    <w:rPr>
      <w:vertAlign w:val="superscript"/>
    </w:rPr>
  </w:style>
  <w:style w:type="paragraph" w:styleId="Poprawka">
    <w:name w:val="Revision"/>
    <w:hidden/>
    <w:uiPriority w:val="99"/>
    <w:semiHidden/>
    <w:rsid w:val="00997070"/>
    <w:pPr>
      <w:spacing w:after="0" w:line="240" w:lineRule="auto"/>
    </w:pPr>
  </w:style>
  <w:style w:type="paragraph" w:customStyle="1" w:styleId="Default">
    <w:name w:val="Default"/>
    <w:rsid w:val="00957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p.eurostat.ec.europa.eu/portal/page/portal/degree_urbanisation/introdu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ramon/documents/DEGURBA/DEGURBA_Methodology_DG_REGIO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3CEE-95B7-4D74-ADCB-99E20959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8123</Words>
  <Characters>48741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BARCZ</dc:creator>
  <cp:lastModifiedBy>Ilona Malińska</cp:lastModifiedBy>
  <cp:revision>7</cp:revision>
  <cp:lastPrinted>2015-08-13T07:51:00Z</cp:lastPrinted>
  <dcterms:created xsi:type="dcterms:W3CDTF">2015-09-30T12:05:00Z</dcterms:created>
  <dcterms:modified xsi:type="dcterms:W3CDTF">2016-10-19T16:24:00Z</dcterms:modified>
</cp:coreProperties>
</file>