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539812006"/>
        <w:docPartObj>
          <w:docPartGallery w:val="Cover Pages"/>
          <w:docPartUnique/>
        </w:docPartObj>
      </w:sdtPr>
      <w:sdtContent>
        <w:p w:rsidR="00022BC7" w:rsidRDefault="00FA4E8D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200140" cy="819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14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456B6" w:rsidRDefault="007456B6">
          <w:pPr>
            <w:rPr>
              <w:sz w:val="20"/>
              <w:szCs w:val="20"/>
            </w:rPr>
          </w:pPr>
        </w:p>
        <w:p w:rsidR="002764ED" w:rsidRDefault="002764ED"/>
        <w:p w:rsidR="007456B6" w:rsidRPr="007456B6" w:rsidRDefault="00F6739F" w:rsidP="007456B6">
          <w:pPr>
            <w:jc w:val="both"/>
            <w:rPr>
              <w:b/>
              <w:i/>
            </w:rPr>
          </w:pPr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</w:t>
          </w:r>
          <w:r w:rsidR="000B7D06">
            <w:rPr>
              <w:b/>
              <w:i/>
            </w:rPr>
            <w:t xml:space="preserve">    </w:t>
          </w:r>
          <w:r w:rsidRPr="00F6739F">
            <w:rPr>
              <w:b/>
              <w:i/>
            </w:rPr>
            <w:t>w części dotyczącej Europejskiego Funduszu Społecznego.</w:t>
          </w:r>
        </w:p>
        <w:p w:rsidR="007456B6" w:rsidRDefault="0076030A"/>
      </w:sdtContent>
    </w:sdt>
    <w:p w:rsidR="007456B6" w:rsidRDefault="007456B6"/>
    <w:tbl>
      <w:tblPr>
        <w:tblStyle w:val="Tabela-Siatka"/>
        <w:tblW w:w="0" w:type="auto"/>
        <w:tblLook w:val="04A0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4 200,00 PLN/etat</w:t>
            </w:r>
          </w:p>
        </w:tc>
        <w:tc>
          <w:tcPr>
            <w:tcW w:w="2799" w:type="dxa"/>
          </w:tcPr>
          <w:p w:rsidR="00EE6D43" w:rsidRDefault="00A97EE9" w:rsidP="00A97EE9">
            <w:pPr>
              <w:jc w:val="center"/>
            </w:pPr>
            <w:r>
              <w:t>-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lastRenderedPageBreak/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lastRenderedPageBreak/>
              <w:t xml:space="preserve">10 % miesięcznego wynagrodzenia opiekuna </w:t>
            </w:r>
            <w:r>
              <w:lastRenderedPageBreak/>
              <w:t>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lastRenderedPageBreak/>
              <w:t xml:space="preserve">Wydatek dotyczy 150 godzin praktyki zawodowej lub </w:t>
            </w:r>
            <w:r>
              <w:lastRenderedPageBreak/>
              <w:t>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 xml:space="preserve">- Wydatek kwalifikowalny, o ile jest to uzasadnione </w:t>
            </w:r>
            <w:r>
              <w:lastRenderedPageBreak/>
              <w:t>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lastRenderedPageBreak/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 xml:space="preserve">- Cena rynkowa powinna być </w:t>
            </w:r>
            <w:r>
              <w:lastRenderedPageBreak/>
              <w:t>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>kaseta na 250 ark. i podajnik na 50 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 xml:space="preserve">- Wydatek kwalifikowalny, o ile jest to uzasadnione </w:t>
            </w:r>
            <w:r>
              <w:lastRenderedPageBreak/>
              <w:t>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</w:t>
            </w:r>
            <w:r>
              <w:lastRenderedPageBreak/>
              <w:t>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Wydatek kwalifikowalny, o ile forma wsparcia, w ramach której ma być świadczona przerwa kawowa </w:t>
            </w:r>
            <w:r>
              <w:lastRenderedPageBreak/>
              <w:t>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oferowanej usługi i jest niższa, jeżeli finansowany </w:t>
            </w:r>
            <w:r>
              <w:lastRenderedPageBreak/>
              <w:t>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t>- Obejmuje dwa dania (zupa i drugie danie) oraz napój, przy czym istnieje możliwość szerszego zakresu usługi, o ile mieści się w określonej cenie 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 xml:space="preserve">- 120,00 PLN/1 nocleg za 1 </w:t>
            </w:r>
            <w:r>
              <w:lastRenderedPageBreak/>
              <w:t>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>- Wydatek przeznaczony dla personelu 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t>Zgodnie z rozporządzeniem Ministra Transportu z dnia 23.10.2007 r. zmieniającym rozporządzenie w sprawie 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zależy od języka obcego. Może być </w:t>
            </w:r>
            <w:r>
              <w:lastRenderedPageBreak/>
              <w:t>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500 szt. po 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zestawu i jest niższa, jeżeli finansowany jest zestaw o niższym </w:t>
            </w:r>
            <w:r>
              <w:lastRenderedPageBreak/>
              <w:t>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- 17 500,00 w przypadku całej strony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 xml:space="preserve">. W przypadku ogłoszeń w prasie </w:t>
            </w:r>
            <w:r>
              <w:lastRenderedPageBreak/>
              <w:t>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lastRenderedPageBreak/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Badania lekarskie uczestników 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W zależności od rodzaju 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sierpnia 2015 r.</w:t>
      </w:r>
    </w:p>
    <w:sectPr w:rsidR="00715519" w:rsidSect="006B0FA8">
      <w:headerReference w:type="default" r:id="rId7"/>
      <w:headerReference w:type="first" r:id="rId8"/>
      <w:pgSz w:w="16838" w:h="11906" w:orient="landscape" w:code="9"/>
      <w:pgMar w:top="700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0A" w:rsidRDefault="00A27A0A" w:rsidP="00A27A0A">
      <w:pPr>
        <w:spacing w:after="0" w:line="240" w:lineRule="auto"/>
      </w:pPr>
      <w:r>
        <w:separator/>
      </w:r>
    </w:p>
  </w:endnote>
  <w:end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0A" w:rsidRDefault="00A27A0A" w:rsidP="00A27A0A">
      <w:pPr>
        <w:spacing w:after="0" w:line="240" w:lineRule="auto"/>
      </w:pPr>
      <w:r>
        <w:separator/>
      </w:r>
    </w:p>
  </w:footnote>
  <w:footnote w:type="continuationSeparator" w:id="0">
    <w:p w:rsidR="00A27A0A" w:rsidRDefault="00A27A0A" w:rsidP="00A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A6" w:rsidRPr="00B33C98" w:rsidRDefault="00CC34F8" w:rsidP="000E58CD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  <w:u w:val="single"/>
      </w:rPr>
    </w:pPr>
    <w:r w:rsidRPr="00B11F2E">
      <w:rPr>
        <w:rFonts w:ascii="Calibri" w:eastAsia="Times New Roman" w:hAnsi="Calibri" w:cs="Times New Roman"/>
        <w:b/>
        <w:i/>
        <w:sz w:val="20"/>
        <w:szCs w:val="24"/>
      </w:rPr>
      <w:t xml:space="preserve">Załącznik nr </w:t>
    </w:r>
    <w:r>
      <w:rPr>
        <w:rFonts w:ascii="Calibri" w:eastAsia="Times New Roman" w:hAnsi="Calibri" w:cs="Times New Roman"/>
        <w:b/>
        <w:i/>
        <w:sz w:val="20"/>
        <w:szCs w:val="24"/>
      </w:rPr>
      <w:t>6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 </w:t>
    </w:r>
    <w:r w:rsidRPr="00B11F2E">
      <w:rPr>
        <w:rFonts w:ascii="Calibri" w:eastAsia="Times New Roman" w:hAnsi="Calibri" w:cs="Times New Roman"/>
        <w:i/>
        <w:sz w:val="20"/>
        <w:szCs w:val="24"/>
        <w:u w:val="single"/>
      </w:rPr>
      <w:t>REGULAMINU KONKURSU</w:t>
    </w:r>
    <w:r w:rsidRPr="00B11F2E">
      <w:rPr>
        <w:rFonts w:ascii="Calibri" w:eastAsia="Times New Roman" w:hAnsi="Calibri" w:cs="Times New Roman"/>
        <w:i/>
        <w:sz w:val="20"/>
        <w:szCs w:val="24"/>
      </w:rPr>
      <w:t xml:space="preserve"> dotyczącego projektów złożonych w ramach: Osi VIII Integracja społeczna dla</w:t>
    </w:r>
  </w:p>
  <w:p w:rsidR="00B11F2E" w:rsidRPr="00B11F2E" w:rsidRDefault="00B11F2E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  <w:r w:rsidRPr="00B11F2E">
      <w:rPr>
        <w:rFonts w:ascii="Calibri" w:eastAsia="Times New Roman" w:hAnsi="Calibri" w:cs="Times New Roman"/>
        <w:i/>
        <w:sz w:val="20"/>
        <w:szCs w:val="24"/>
      </w:rPr>
      <w:t>działania 8.1 Dostęp do wysokiej jakości usług zdrowotnych i społecznych w ramach RPO WO 2014-2020 Nabór I</w:t>
    </w:r>
  </w:p>
  <w:p w:rsidR="00A27A0A" w:rsidRPr="00B11F2E" w:rsidRDefault="00A27A0A" w:rsidP="00B11F2E">
    <w:pPr>
      <w:spacing w:after="0" w:line="240" w:lineRule="auto"/>
      <w:jc w:val="right"/>
      <w:rPr>
        <w:rFonts w:ascii="Calibri" w:eastAsia="Times New Roman" w:hAnsi="Calibri" w:cs="Times New Roman"/>
        <w:i/>
        <w:sz w:val="20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43"/>
    <w:rsid w:val="00010408"/>
    <w:rsid w:val="00013216"/>
    <w:rsid w:val="00022BC7"/>
    <w:rsid w:val="00044EF8"/>
    <w:rsid w:val="00071000"/>
    <w:rsid w:val="0008035A"/>
    <w:rsid w:val="00084E1C"/>
    <w:rsid w:val="000B7D06"/>
    <w:rsid w:val="000C7D46"/>
    <w:rsid w:val="000E58CD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764ED"/>
    <w:rsid w:val="0028790B"/>
    <w:rsid w:val="002A17F3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965B6"/>
    <w:rsid w:val="006B0FA8"/>
    <w:rsid w:val="006D0816"/>
    <w:rsid w:val="006E4EA7"/>
    <w:rsid w:val="006F2BA7"/>
    <w:rsid w:val="007120A2"/>
    <w:rsid w:val="00715519"/>
    <w:rsid w:val="00741E4B"/>
    <w:rsid w:val="007456B6"/>
    <w:rsid w:val="00746F4B"/>
    <w:rsid w:val="00753CCC"/>
    <w:rsid w:val="0076030A"/>
    <w:rsid w:val="007766ED"/>
    <w:rsid w:val="00782B16"/>
    <w:rsid w:val="00790FE2"/>
    <w:rsid w:val="007A2B6E"/>
    <w:rsid w:val="007A38AA"/>
    <w:rsid w:val="007A7508"/>
    <w:rsid w:val="007A7FD0"/>
    <w:rsid w:val="007D5589"/>
    <w:rsid w:val="007D6147"/>
    <w:rsid w:val="007F086F"/>
    <w:rsid w:val="00841CCE"/>
    <w:rsid w:val="00877F8B"/>
    <w:rsid w:val="008B2E56"/>
    <w:rsid w:val="008E484B"/>
    <w:rsid w:val="00926641"/>
    <w:rsid w:val="00960D46"/>
    <w:rsid w:val="009801E3"/>
    <w:rsid w:val="009848E5"/>
    <w:rsid w:val="00991C15"/>
    <w:rsid w:val="009958A6"/>
    <w:rsid w:val="009A52B9"/>
    <w:rsid w:val="009D0124"/>
    <w:rsid w:val="00A01C64"/>
    <w:rsid w:val="00A227A6"/>
    <w:rsid w:val="00A27A0A"/>
    <w:rsid w:val="00A63795"/>
    <w:rsid w:val="00A8008C"/>
    <w:rsid w:val="00A97EE9"/>
    <w:rsid w:val="00AD1FCD"/>
    <w:rsid w:val="00AD5785"/>
    <w:rsid w:val="00B11F2E"/>
    <w:rsid w:val="00B26539"/>
    <w:rsid w:val="00B26546"/>
    <w:rsid w:val="00B33C98"/>
    <w:rsid w:val="00B4031E"/>
    <w:rsid w:val="00B57525"/>
    <w:rsid w:val="00C07A81"/>
    <w:rsid w:val="00CA47A7"/>
    <w:rsid w:val="00CC34F8"/>
    <w:rsid w:val="00CF0BE1"/>
    <w:rsid w:val="00D202D7"/>
    <w:rsid w:val="00D34C4E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02AC0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A0A"/>
  </w:style>
  <w:style w:type="paragraph" w:styleId="Stopka">
    <w:name w:val="footer"/>
    <w:basedOn w:val="Normalny"/>
    <w:link w:val="StopkaZnak"/>
    <w:uiPriority w:val="99"/>
    <w:unhideWhenUsed/>
    <w:rsid w:val="00A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3150</Words>
  <Characters>18904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KRZYTOF MICHLIK</dc:creator>
  <cp:lastModifiedBy>e.tarlinska</cp:lastModifiedBy>
  <cp:revision>2</cp:revision>
  <cp:lastPrinted>2015-09-28T07:50:00Z</cp:lastPrinted>
  <dcterms:created xsi:type="dcterms:W3CDTF">2017-05-12T07:56:00Z</dcterms:created>
  <dcterms:modified xsi:type="dcterms:W3CDTF">2017-05-12T07:56:00Z</dcterms:modified>
</cp:coreProperties>
</file>