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p w14:paraId="71546A06" w14:textId="77777777" w:rsidR="000656FF" w:rsidRPr="00D64ABD" w:rsidRDefault="000656FF" w:rsidP="000656FF">
      <w:r w:rsidRPr="00D64ABD">
        <w:rPr>
          <w:noProof/>
        </w:rPr>
        <w:drawing>
          <wp:inline distT="0" distB="0" distL="0" distR="0" wp14:anchorId="654A8CFD" wp14:editId="780FAB0F">
            <wp:extent cx="5753100"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8C07EA">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7C213A97" w14:textId="77777777" w:rsidR="00D31EA9" w:rsidRPr="00D64ABD" w:rsidRDefault="00D31EA9" w:rsidP="00A24DD5">
      <w:pPr>
        <w:jc w:val="both"/>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414C3D83" w14:textId="77777777" w:rsidR="004D688D" w:rsidRDefault="004D688D" w:rsidP="00D72332">
      <w:pPr>
        <w:tabs>
          <w:tab w:val="left" w:pos="4065"/>
        </w:tabs>
        <w:spacing w:line="360" w:lineRule="auto"/>
        <w:jc w:val="center"/>
        <w:rPr>
          <w:rFonts w:ascii="Calibri" w:hAnsi="Calibri"/>
          <w:i/>
          <w:color w:val="000000"/>
          <w:sz w:val="22"/>
          <w:szCs w:val="22"/>
        </w:rPr>
      </w:pPr>
    </w:p>
    <w:p w14:paraId="24E09B24" w14:textId="77777777" w:rsidR="004D688D" w:rsidRDefault="004D688D" w:rsidP="00D72332">
      <w:pPr>
        <w:tabs>
          <w:tab w:val="left" w:pos="4065"/>
        </w:tabs>
        <w:spacing w:line="360" w:lineRule="auto"/>
        <w:jc w:val="center"/>
        <w:rPr>
          <w:rFonts w:ascii="Calibri" w:hAnsi="Calibri"/>
          <w:i/>
          <w:color w:val="000000"/>
          <w:sz w:val="22"/>
          <w:szCs w:val="22"/>
        </w:rPr>
      </w:pPr>
    </w:p>
    <w:p w14:paraId="57AC71AB" w14:textId="77777777" w:rsidR="004D688D" w:rsidRDefault="004D688D" w:rsidP="00D72332">
      <w:pPr>
        <w:tabs>
          <w:tab w:val="left" w:pos="4065"/>
        </w:tabs>
        <w:spacing w:line="360" w:lineRule="auto"/>
        <w:jc w:val="center"/>
        <w:rPr>
          <w:rFonts w:ascii="Calibri" w:hAnsi="Calibri"/>
          <w:i/>
          <w:color w:val="000000"/>
          <w:sz w:val="22"/>
          <w:szCs w:val="22"/>
        </w:rPr>
      </w:pPr>
    </w:p>
    <w:p w14:paraId="0D9192CD" w14:textId="77777777" w:rsidR="004D688D" w:rsidRDefault="004D688D"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41FEB74E" w14:textId="77777777" w:rsidR="00D72332" w:rsidRDefault="00D72332" w:rsidP="00D72332">
      <w:pPr>
        <w:pStyle w:val="Spistreci1"/>
      </w:pPr>
    </w:p>
    <w:p w14:paraId="24B9889C" w14:textId="77777777" w:rsidR="004D688D" w:rsidRDefault="004D688D" w:rsidP="004D688D"/>
    <w:p w14:paraId="7CBA7CBE" w14:textId="77777777" w:rsidR="004D688D" w:rsidRDefault="004D688D" w:rsidP="004D688D"/>
    <w:p w14:paraId="19508E72" w14:textId="77777777" w:rsidR="004D688D" w:rsidRDefault="004D688D" w:rsidP="004D688D"/>
    <w:p w14:paraId="427563FC" w14:textId="77777777" w:rsidR="004D688D" w:rsidRDefault="004D688D" w:rsidP="004D688D"/>
    <w:p w14:paraId="2C8999B5" w14:textId="77777777" w:rsidR="004D688D" w:rsidRPr="004D688D" w:rsidRDefault="004D688D" w:rsidP="004D688D"/>
    <w:p w14:paraId="3EAA4C7B" w14:textId="35DA8275" w:rsidR="001E5C2B" w:rsidRPr="004D688D" w:rsidRDefault="00D72332" w:rsidP="004D688D">
      <w:pPr>
        <w:tabs>
          <w:tab w:val="left" w:pos="4065"/>
        </w:tabs>
        <w:spacing w:line="276" w:lineRule="auto"/>
        <w:jc w:val="center"/>
        <w:rPr>
          <w:rFonts w:ascii="Calibri" w:hAnsi="Calibri"/>
          <w:color w:val="000000"/>
          <w:szCs w:val="22"/>
        </w:rPr>
      </w:pPr>
      <w:r w:rsidRPr="004D688D">
        <w:rPr>
          <w:rFonts w:ascii="Calibri" w:hAnsi="Calibri"/>
          <w:color w:val="000000"/>
          <w:szCs w:val="22"/>
        </w:rPr>
        <w:t xml:space="preserve">OPOLE, </w:t>
      </w:r>
      <w:r w:rsidR="001E5C2B" w:rsidRPr="004D688D">
        <w:rPr>
          <w:rFonts w:ascii="Calibri" w:hAnsi="Calibri"/>
          <w:color w:val="000000"/>
          <w:szCs w:val="22"/>
        </w:rPr>
        <w:t xml:space="preserve">MARZEC </w:t>
      </w:r>
      <w:r w:rsidRPr="004D688D">
        <w:rPr>
          <w:rFonts w:ascii="Calibri" w:hAnsi="Calibri"/>
          <w:color w:val="000000"/>
          <w:szCs w:val="22"/>
        </w:rPr>
        <w:t>2018</w:t>
      </w: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w:t>
      </w:r>
      <w:proofErr w:type="spellStart"/>
      <w:r w:rsidRPr="00D94978">
        <w:rPr>
          <w:rFonts w:asciiTheme="minorHAnsi" w:hAnsiTheme="minorHAnsi"/>
        </w:rPr>
        <w:t>edukacyjno</w:t>
      </w:r>
      <w:proofErr w:type="spellEnd"/>
      <w:r w:rsidRPr="00D94978">
        <w:rPr>
          <w:rFonts w:asciiTheme="minorHAnsi" w:hAnsiTheme="minorHAnsi"/>
        </w:rPr>
        <w:t xml:space="preserve">–zawodowe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0EFE075C" w14:textId="77777777" w:rsidR="00A24DD5" w:rsidRDefault="00A24DD5" w:rsidP="002D5A2C">
      <w:pPr>
        <w:autoSpaceDE w:val="0"/>
        <w:autoSpaceDN w:val="0"/>
        <w:adjustRightInd w:val="0"/>
        <w:rPr>
          <w:rFonts w:ascii="Calibri" w:hAnsi="Calibri" w:cs="Arial"/>
        </w:rPr>
      </w:pPr>
    </w:p>
    <w:p w14:paraId="37B544DA" w14:textId="77777777" w:rsidR="008A089F" w:rsidRDefault="008A089F" w:rsidP="008313B0">
      <w:pPr>
        <w:autoSpaceDE w:val="0"/>
        <w:autoSpaceDN w:val="0"/>
        <w:adjustRightInd w:val="0"/>
        <w:spacing w:after="120"/>
        <w:ind w:left="567"/>
        <w:jc w:val="both"/>
        <w:rPr>
          <w:rFonts w:ascii="Calibri" w:hAnsi="Calibri" w:cs="Calibri"/>
          <w:b/>
        </w:rPr>
      </w:pPr>
    </w:p>
    <w:p w14:paraId="401F1DB0" w14:textId="77777777" w:rsidR="008A089F" w:rsidRDefault="008A089F" w:rsidP="008313B0">
      <w:pPr>
        <w:autoSpaceDE w:val="0"/>
        <w:autoSpaceDN w:val="0"/>
        <w:adjustRightInd w:val="0"/>
        <w:spacing w:after="120"/>
        <w:ind w:left="567"/>
        <w:jc w:val="both"/>
        <w:rPr>
          <w:rFonts w:ascii="Calibri" w:hAnsi="Calibri" w:cs="Calibri"/>
          <w:b/>
        </w:rPr>
      </w:pPr>
    </w:p>
    <w:p w14:paraId="04C2AF26" w14:textId="77777777" w:rsidR="008A089F" w:rsidRDefault="008A089F" w:rsidP="008313B0">
      <w:pPr>
        <w:autoSpaceDE w:val="0"/>
        <w:autoSpaceDN w:val="0"/>
        <w:adjustRightInd w:val="0"/>
        <w:spacing w:after="120"/>
        <w:ind w:left="567"/>
        <w:jc w:val="both"/>
        <w:rPr>
          <w:rFonts w:ascii="Calibri" w:hAnsi="Calibri" w:cs="Calibri"/>
          <w:b/>
        </w:rPr>
      </w:pPr>
    </w:p>
    <w:p w14:paraId="3BC5FFD9" w14:textId="77777777" w:rsidR="008A089F" w:rsidRDefault="008A089F" w:rsidP="008313B0">
      <w:pPr>
        <w:autoSpaceDE w:val="0"/>
        <w:autoSpaceDN w:val="0"/>
        <w:adjustRightInd w:val="0"/>
        <w:spacing w:after="120"/>
        <w:ind w:left="567"/>
        <w:jc w:val="both"/>
        <w:rPr>
          <w:rFonts w:ascii="Calibri" w:hAnsi="Calibri" w:cs="Calibri"/>
          <w:b/>
        </w:rPr>
      </w:pPr>
    </w:p>
    <w:p w14:paraId="35F506C4" w14:textId="77777777" w:rsidR="008A089F" w:rsidRDefault="008A089F" w:rsidP="008313B0">
      <w:pPr>
        <w:autoSpaceDE w:val="0"/>
        <w:autoSpaceDN w:val="0"/>
        <w:adjustRightInd w:val="0"/>
        <w:spacing w:after="120"/>
        <w:ind w:left="567"/>
        <w:jc w:val="both"/>
        <w:rPr>
          <w:rFonts w:ascii="Calibri" w:hAnsi="Calibri" w:cs="Calibri"/>
          <w:b/>
        </w:rPr>
      </w:pPr>
    </w:p>
    <w:p w14:paraId="14116C5D" w14:textId="77777777" w:rsidR="008A089F" w:rsidRDefault="008A089F" w:rsidP="008313B0">
      <w:pPr>
        <w:autoSpaceDE w:val="0"/>
        <w:autoSpaceDN w:val="0"/>
        <w:adjustRightInd w:val="0"/>
        <w:spacing w:after="120"/>
        <w:ind w:left="567"/>
        <w:jc w:val="both"/>
        <w:rPr>
          <w:rFonts w:ascii="Calibri" w:hAnsi="Calibri" w:cs="Calibri"/>
          <w:b/>
        </w:rPr>
      </w:pPr>
    </w:p>
    <w:p w14:paraId="7B76F97C" w14:textId="77777777" w:rsidR="008A089F" w:rsidRDefault="008A089F" w:rsidP="008313B0">
      <w:pPr>
        <w:autoSpaceDE w:val="0"/>
        <w:autoSpaceDN w:val="0"/>
        <w:adjustRightInd w:val="0"/>
        <w:spacing w:after="120"/>
        <w:ind w:left="567"/>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1ACB83D8" w14:textId="77777777" w:rsidR="004D688D" w:rsidRDefault="004D688D"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wykorzystanie narzędzi, metod lub form pracy wypracowanych w ramach projektów, w tym pozytywnie </w:t>
      </w:r>
      <w:proofErr w:type="spellStart"/>
      <w:r w:rsidRPr="00D64ABD">
        <w:rPr>
          <w:rFonts w:ascii="Calibri" w:hAnsi="Calibri" w:cs="Arial"/>
        </w:rPr>
        <w:t>zwalidowanych</w:t>
      </w:r>
      <w:proofErr w:type="spellEnd"/>
      <w:r w:rsidRPr="00D64ABD">
        <w:rPr>
          <w:rFonts w:ascii="Calibri" w:hAnsi="Calibri" w:cs="Arial"/>
        </w:rPr>
        <w:t xml:space="preserve">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w:t>
      </w:r>
      <w:proofErr w:type="spellStart"/>
      <w:r w:rsidRPr="00D64ABD">
        <w:rPr>
          <w:rFonts w:ascii="Calibri" w:hAnsi="Calibri" w:cs="Arial"/>
        </w:rPr>
        <w:t>edukacyjno</w:t>
      </w:r>
      <w:proofErr w:type="spellEnd"/>
      <w:r w:rsidRPr="00D64ABD">
        <w:rPr>
          <w:rFonts w:ascii="Calibri" w:hAnsi="Calibri" w:cs="Arial"/>
        </w:rPr>
        <w:t xml:space="preserve">–zawodowe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C8DB7EF"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33D603B9"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34599704"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6C0340E1"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229C4F02" w14:textId="77777777" w:rsidR="006A32B4" w:rsidRPr="00D64ABD" w:rsidRDefault="006A32B4"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doradztwo </w:t>
      </w:r>
      <w:proofErr w:type="spellStart"/>
      <w:r w:rsidRPr="00D64ABD">
        <w:rPr>
          <w:rFonts w:ascii="Calibri" w:hAnsi="Calibri" w:cs="Calibri"/>
        </w:rPr>
        <w:t>edukacyjno</w:t>
      </w:r>
      <w:proofErr w:type="spellEnd"/>
      <w:r w:rsidRPr="00D64ABD">
        <w:rPr>
          <w:rFonts w:ascii="Calibri" w:hAnsi="Calibri" w:cs="Calibri"/>
        </w:rPr>
        <w:t>–zawodowe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522D2796" w14:textId="77777777" w:rsidR="008313B0" w:rsidRDefault="008313B0" w:rsidP="002D5A2C">
      <w:pPr>
        <w:autoSpaceDE w:val="0"/>
        <w:autoSpaceDN w:val="0"/>
        <w:adjustRightInd w:val="0"/>
        <w:rPr>
          <w:rFonts w:ascii="Calibri" w:hAnsi="Calibri" w:cs="Calibri"/>
        </w:rPr>
      </w:pPr>
    </w:p>
    <w:p w14:paraId="53DCDC11" w14:textId="77777777" w:rsidR="004D688D" w:rsidRDefault="004D688D" w:rsidP="002D5A2C">
      <w:pPr>
        <w:autoSpaceDE w:val="0"/>
        <w:autoSpaceDN w:val="0"/>
        <w:adjustRightInd w:val="0"/>
        <w:rPr>
          <w:rFonts w:ascii="Calibri" w:hAnsi="Calibri" w:cs="Calibri"/>
        </w:rPr>
      </w:pPr>
    </w:p>
    <w:p w14:paraId="5AF35A68" w14:textId="77777777" w:rsidR="004D688D" w:rsidRDefault="004D688D" w:rsidP="002D5A2C">
      <w:pPr>
        <w:autoSpaceDE w:val="0"/>
        <w:autoSpaceDN w:val="0"/>
        <w:adjustRightInd w:val="0"/>
        <w:rPr>
          <w:rFonts w:ascii="Calibri" w:hAnsi="Calibri" w:cs="Calibri"/>
        </w:rPr>
      </w:pPr>
    </w:p>
    <w:p w14:paraId="44E026A4" w14:textId="77777777" w:rsidR="004D688D" w:rsidRDefault="004D688D" w:rsidP="002D5A2C">
      <w:pPr>
        <w:autoSpaceDE w:val="0"/>
        <w:autoSpaceDN w:val="0"/>
        <w:adjustRightInd w:val="0"/>
        <w:rPr>
          <w:rFonts w:ascii="Calibri" w:hAnsi="Calibri" w:cs="Calibri"/>
        </w:rPr>
      </w:pPr>
    </w:p>
    <w:p w14:paraId="663739C4" w14:textId="77777777" w:rsidR="004D688D" w:rsidRDefault="004D688D"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 xml:space="preserve">psychologiczno-pedagogicznej w trakcie bieżącej pracy z uczniem oraz w formach wymienionych w rozporządzeniu Ministra Edukacji Narodowej z dnia 30 kwietnia 2013 r. w sprawie zasad udzielania i organizacji pomocy </w:t>
      </w:r>
      <w:proofErr w:type="spellStart"/>
      <w:r w:rsidRPr="00D94978">
        <w:rPr>
          <w:rFonts w:asciiTheme="minorHAnsi" w:hAnsiTheme="minorHAnsi" w:cs="Arial"/>
        </w:rPr>
        <w:t>psychologiczno</w:t>
      </w:r>
      <w:proofErr w:type="spellEnd"/>
      <w:r w:rsidRPr="00D94978">
        <w:rPr>
          <w:rFonts w:asciiTheme="minorHAnsi" w:hAnsiTheme="minorHAnsi" w:cs="Arial"/>
        </w:rPr>
        <w:t xml:space="preserve">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 xml:space="preserve">i zagrożonych niedostosowaniem społecznym (Dz. U z 2017 r. poz. 1591 z </w:t>
      </w:r>
      <w:proofErr w:type="spellStart"/>
      <w:r w:rsidR="00E023EF" w:rsidRPr="00D94978">
        <w:rPr>
          <w:rFonts w:asciiTheme="minorHAnsi" w:hAnsiTheme="minorHAnsi"/>
        </w:rPr>
        <w:t>późn</w:t>
      </w:r>
      <w:proofErr w:type="spellEnd"/>
      <w:r w:rsidR="00E023EF" w:rsidRPr="00D94978">
        <w:rPr>
          <w:rFonts w:asciiTheme="minorHAnsi" w:hAnsiTheme="minorHAnsi"/>
        </w:rPr>
        <w:t>.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w:t>
      </w:r>
      <w:proofErr w:type="spellEnd"/>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6FB00C63" w14:textId="77777777" w:rsidR="004D688D" w:rsidRDefault="004D688D" w:rsidP="00F16549">
      <w:pPr>
        <w:autoSpaceDE w:val="0"/>
        <w:autoSpaceDN w:val="0"/>
        <w:adjustRightInd w:val="0"/>
        <w:ind w:left="284"/>
        <w:rPr>
          <w:rFonts w:ascii="Calibri" w:hAnsi="Calibri" w:cs="Calibri"/>
        </w:rPr>
      </w:pPr>
    </w:p>
    <w:p w14:paraId="4FD8194A" w14:textId="77777777" w:rsidR="004D688D" w:rsidRDefault="004D688D" w:rsidP="00F16549">
      <w:pPr>
        <w:autoSpaceDE w:val="0"/>
        <w:autoSpaceDN w:val="0"/>
        <w:adjustRightInd w:val="0"/>
        <w:ind w:left="284"/>
        <w:rPr>
          <w:rFonts w:ascii="Calibri" w:hAnsi="Calibri" w:cs="Calibri"/>
        </w:rPr>
      </w:pPr>
    </w:p>
    <w:p w14:paraId="304F184E" w14:textId="77777777" w:rsidR="004D688D" w:rsidRDefault="004D688D"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w:t>
      </w:r>
      <w:proofErr w:type="spellStart"/>
      <w:r w:rsidR="003174BF" w:rsidRPr="00D64ABD">
        <w:rPr>
          <w:rFonts w:ascii="Calibri" w:hAnsi="Calibri" w:cs="Arial"/>
        </w:rPr>
        <w:t>line</w:t>
      </w:r>
      <w:proofErr w:type="spellEnd"/>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 xml:space="preserve">w realizacji zewnętrznego wsparcia na poziomie powiatu. Doradca–konsultant to osoba zatrudniona w poradni </w:t>
      </w:r>
      <w:proofErr w:type="spellStart"/>
      <w:r w:rsidRPr="00D64ABD">
        <w:rPr>
          <w:rFonts w:ascii="Calibri" w:hAnsi="Calibri" w:cs="Arial"/>
        </w:rPr>
        <w:t>psychologiczno</w:t>
      </w:r>
      <w:proofErr w:type="spellEnd"/>
      <w:r w:rsidRPr="00D64ABD">
        <w:rPr>
          <w:rFonts w:ascii="Calibri" w:hAnsi="Calibri" w:cs="Arial"/>
        </w:rPr>
        <w:t xml:space="preserve">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poradnie </w:t>
      </w:r>
      <w:proofErr w:type="spellStart"/>
      <w:r w:rsidRPr="00D64ABD">
        <w:rPr>
          <w:rFonts w:ascii="Calibri" w:hAnsi="Calibri" w:cs="Arial"/>
        </w:rPr>
        <w:t>psychologiczno</w:t>
      </w:r>
      <w:proofErr w:type="spellEnd"/>
      <w:r w:rsidRPr="00D64ABD">
        <w:rPr>
          <w:rFonts w:ascii="Calibri" w:hAnsi="Calibri" w:cs="Arial"/>
        </w:rPr>
        <w:t>–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w:t>
      </w:r>
      <w:proofErr w:type="spellStart"/>
      <w:r w:rsidRPr="00D64ABD">
        <w:rPr>
          <w:rFonts w:ascii="Calibri" w:hAnsi="Calibri" w:cs="Arial"/>
        </w:rPr>
        <w:t>edukacyjno</w:t>
      </w:r>
      <w:proofErr w:type="spellEnd"/>
      <w:r w:rsidRPr="00D64ABD">
        <w:rPr>
          <w:rFonts w:ascii="Calibri" w:hAnsi="Calibri" w:cs="Arial"/>
        </w:rPr>
        <w:t xml:space="preserve">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w:t>
      </w:r>
      <w:proofErr w:type="spellStart"/>
      <w:r w:rsidRPr="00D64ABD">
        <w:rPr>
          <w:rFonts w:ascii="Calibri" w:hAnsi="Calibri" w:cs="Arial"/>
        </w:rPr>
        <w:t>edukacyjno</w:t>
      </w:r>
      <w:proofErr w:type="spellEnd"/>
      <w:r w:rsidRPr="00D64ABD">
        <w:rPr>
          <w:rFonts w:ascii="Calibri" w:hAnsi="Calibri" w:cs="Arial"/>
        </w:rPr>
        <w:t xml:space="preserve">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 xml:space="preserve">udostępnianie informacji, np. o instytucjach zewnętrznych wspierających doradztwo </w:t>
      </w:r>
      <w:proofErr w:type="spellStart"/>
      <w:r w:rsidRPr="00D64ABD">
        <w:rPr>
          <w:rFonts w:ascii="Calibri" w:hAnsi="Calibri" w:cs="Arial"/>
        </w:rPr>
        <w:t>edukacyjno</w:t>
      </w:r>
      <w:proofErr w:type="spellEnd"/>
      <w:r w:rsidRPr="00D64ABD">
        <w:rPr>
          <w:rFonts w:ascii="Calibri" w:hAnsi="Calibri" w:cs="Arial"/>
        </w:rPr>
        <w:t xml:space="preserve"> – zawodowe, opisanych w mapie lokalnej sieci doradztwa </w:t>
      </w:r>
      <w:proofErr w:type="spellStart"/>
      <w:r w:rsidRPr="00D64ABD">
        <w:rPr>
          <w:rFonts w:ascii="Calibri" w:hAnsi="Calibri" w:cs="Arial"/>
        </w:rPr>
        <w:t>edukacyjno</w:t>
      </w:r>
      <w:proofErr w:type="spellEnd"/>
      <w:r w:rsidRPr="00D64ABD">
        <w:rPr>
          <w:rFonts w:ascii="Calibri" w:hAnsi="Calibri" w:cs="Arial"/>
        </w:rPr>
        <w:t xml:space="preserve">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 xml:space="preserve">z dziedziny doradztwa </w:t>
      </w:r>
      <w:proofErr w:type="spellStart"/>
      <w:r w:rsidRPr="00D64ABD">
        <w:rPr>
          <w:rFonts w:ascii="Calibri" w:hAnsi="Calibri" w:cs="Arial"/>
        </w:rPr>
        <w:t>edukacyjno</w:t>
      </w:r>
      <w:proofErr w:type="spellEnd"/>
      <w:r w:rsidRPr="00D64ABD">
        <w:rPr>
          <w:rFonts w:ascii="Calibri" w:hAnsi="Calibri" w:cs="Arial"/>
        </w:rPr>
        <w:t xml:space="preserve">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identyfikację osób zajmujących się problematyką doradztwa </w:t>
      </w:r>
      <w:proofErr w:type="spellStart"/>
      <w:r w:rsidRPr="00D64ABD">
        <w:rPr>
          <w:rFonts w:ascii="Calibri" w:hAnsi="Calibri" w:cs="Arial"/>
        </w:rPr>
        <w:t>edukacyjno</w:t>
      </w:r>
      <w:proofErr w:type="spellEnd"/>
      <w:r w:rsidRPr="00D64ABD">
        <w:rPr>
          <w:rFonts w:ascii="Calibri" w:hAnsi="Calibri" w:cs="Arial"/>
        </w:rPr>
        <w:t xml:space="preserve">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 xml:space="preserve">doświadczeń osobom zainteresowanym doradztwem </w:t>
      </w:r>
      <w:proofErr w:type="spellStart"/>
      <w:r w:rsidRPr="00D64ABD">
        <w:rPr>
          <w:rFonts w:ascii="Calibri" w:hAnsi="Calibri" w:cs="Arial"/>
        </w:rPr>
        <w:t>edukacyjno</w:t>
      </w:r>
      <w:proofErr w:type="spellEnd"/>
      <w:r w:rsidRPr="00D64ABD">
        <w:rPr>
          <w:rFonts w:ascii="Calibri" w:hAnsi="Calibri" w:cs="Arial"/>
        </w:rPr>
        <w:t xml:space="preserve">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zawodowego dla uczniów ze specjalnymi potrzebami edukacyjnymi, wymianę informacji, np. o wydarzeniach powiatowych dotyczących doradztwa, informacji z regionalnego rynku pracy, oferty 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Zgodnie z art. 16 ustawy z dnia 14 grudnia 2016 r. Prawo oświatowe (</w:t>
      </w:r>
      <w:proofErr w:type="spellStart"/>
      <w:r w:rsidRPr="00D64ABD">
        <w:rPr>
          <w:rFonts w:ascii="Calibri" w:hAnsi="Calibri" w:cs="Calibri"/>
          <w:b/>
          <w:i/>
        </w:rPr>
        <w:t>Dz.U</w:t>
      </w:r>
      <w:proofErr w:type="spellEnd"/>
      <w:r w:rsidRPr="00D64ABD">
        <w:rPr>
          <w:rFonts w:ascii="Calibri" w:hAnsi="Calibri" w:cs="Calibri"/>
          <w:b/>
          <w:i/>
        </w:rPr>
        <w:t>. z 2017 r. poz. 59, z późn.zm.) oraz art. 35 a ustawy z dnia 26 stycznia 1982 r. Karta Nauczyciela (</w:t>
      </w:r>
      <w:proofErr w:type="spellStart"/>
      <w:r w:rsidRPr="00D64ABD">
        <w:rPr>
          <w:rFonts w:ascii="Calibri" w:hAnsi="Calibri" w:cs="Calibri"/>
          <w:b/>
          <w:i/>
        </w:rPr>
        <w:t>Dz.U</w:t>
      </w:r>
      <w:proofErr w:type="spellEnd"/>
      <w:r w:rsidRPr="00D64ABD">
        <w:rPr>
          <w:rFonts w:ascii="Calibri" w:hAnsi="Calibri" w:cs="Calibri"/>
          <w:b/>
          <w:i/>
        </w:rPr>
        <w:t xml:space="preserve">.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z dnia 26 czerwca 1974 r. - Kodeks pracy (</w:t>
      </w:r>
      <w:proofErr w:type="spellStart"/>
      <w:r w:rsidRPr="00D64ABD">
        <w:rPr>
          <w:rFonts w:ascii="Calibri" w:hAnsi="Calibri" w:cs="Calibri"/>
          <w:b/>
          <w:i/>
        </w:rPr>
        <w:t>Dz.U</w:t>
      </w:r>
      <w:proofErr w:type="spellEnd"/>
      <w:r w:rsidRPr="00D64ABD">
        <w:rPr>
          <w:rFonts w:ascii="Calibri" w:hAnsi="Calibri" w:cs="Calibri"/>
          <w:b/>
          <w:i/>
        </w:rPr>
        <w:t xml:space="preserve">.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Karta 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w:t>
      </w:r>
      <w:proofErr w:type="spellStart"/>
      <w:r w:rsidRPr="00D64ABD">
        <w:rPr>
          <w:rFonts w:ascii="Calibri" w:hAnsi="Calibri" w:cs="Calibri"/>
        </w:rPr>
        <w:t>Dz.U</w:t>
      </w:r>
      <w:proofErr w:type="spellEnd"/>
      <w:r w:rsidRPr="00D64ABD">
        <w:rPr>
          <w:rFonts w:ascii="Calibri" w:hAnsi="Calibri" w:cs="Calibri"/>
        </w:rPr>
        <w:t xml:space="preserve">.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commentRangeStart w:id="0"/>
      <w:r w:rsidRPr="00D64ABD">
        <w:rPr>
          <w:rFonts w:ascii="Calibri" w:hAnsi="Calibri" w:cs="Calibri"/>
          <w:b/>
          <w:u w:val="single"/>
        </w:rPr>
        <w:t>Realizacja projektu EFS w zakresie tworzenia miejsc wychowania przedszkolnego lub wydłużenia czasu pracy przedszkola</w:t>
      </w:r>
      <w:commentRangeEnd w:id="0"/>
      <w:r w:rsidR="00943E65">
        <w:rPr>
          <w:rStyle w:val="Odwoaniedokomentarza"/>
        </w:rPr>
        <w:commentReference w:id="0"/>
      </w:r>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D64ABD">
        <w:rPr>
          <w:rFonts w:ascii="Calibri" w:hAnsi="Calibri" w:cs="Calibri"/>
        </w:rPr>
        <w:t>ppkt</w:t>
      </w:r>
      <w:proofErr w:type="spellEnd"/>
      <w:r w:rsidRPr="00D64ABD">
        <w:rPr>
          <w:rFonts w:ascii="Calibri" w:hAnsi="Calibri" w:cs="Calibri"/>
        </w:rPr>
        <w:t xml:space="preserve"> vii </w:t>
      </w:r>
      <w:r w:rsidRPr="00D64ABD">
        <w:rPr>
          <w:rFonts w:ascii="Calibri" w:hAnsi="Calibri" w:cs="Calibri"/>
          <w:i/>
        </w:rPr>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proofErr w:type="spellStart"/>
      <w:r w:rsidR="006509E7" w:rsidRPr="00D64ABD">
        <w:rPr>
          <w:rFonts w:ascii="Calibri" w:hAnsi="Calibri"/>
        </w:rPr>
        <w:t>p</w:t>
      </w:r>
      <w:r w:rsidRPr="00D64ABD">
        <w:rPr>
          <w:rFonts w:ascii="Calibri" w:hAnsi="Calibri"/>
        </w:rPr>
        <w:t>ozaformalnej</w:t>
      </w:r>
      <w:proofErr w:type="spellEnd"/>
      <w:r w:rsidRPr="00D64ABD">
        <w:rPr>
          <w:rFonts w:ascii="Calibri" w:hAnsi="Calibri"/>
        </w:rPr>
        <w:t xml:space="preserve">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Pr="00D64ABD" w:rsidRDefault="00E46CA1"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technologii informacyjno-komunikacyjnych </w:t>
            </w:r>
          </w:p>
          <w:p w14:paraId="14683BF8" w14:textId="77777777" w:rsidR="00AB62FD" w:rsidRPr="00D64ABD" w:rsidRDefault="00AB62FD" w:rsidP="002D5A2C">
            <w:pPr>
              <w:pStyle w:val="Default"/>
              <w:numPr>
                <w:ilvl w:val="0"/>
                <w:numId w:val="33"/>
              </w:numPr>
              <w:ind w:left="311" w:hanging="284"/>
            </w:pPr>
            <w:r w:rsidRPr="00D64ABD">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zapewnienia uczestnikom 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Dobiera urządzenia wykorzystywane podczas mycia i 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 xml:space="preserve">Kwalifikacji z dn. 22 grudnia 2015 r. (Dz. U. 2017, poz. 986 z </w:t>
      </w:r>
      <w:proofErr w:type="spellStart"/>
      <w:r w:rsidRPr="00D64ABD">
        <w:rPr>
          <w:rFonts w:ascii="Calibri" w:hAnsi="Calibri"/>
        </w:rPr>
        <w:t>późn</w:t>
      </w:r>
      <w:proofErr w:type="spellEnd"/>
      <w:r w:rsidRPr="00D64ABD">
        <w:rPr>
          <w:rFonts w:ascii="Calibri" w:hAnsi="Calibri"/>
        </w:rPr>
        <w:t>.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14 grudnia 2016 r. Prawo oświatowe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27 lipca 2005 r. Prawo o szkolnictwie wyższym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2183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 rozporządzenie Ministra Edukacji Narodowej z dnia 13 marca 2017 r. w sprawie klasyfikacji zawodów szkolnictwa zawodowego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622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rozporządzenie Ministra Edukacji Narodowej z dnia 18 sierpnia 2017 r. w sprawie kształcenia ustawicznego w formach pozaszkolnych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1065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w:t>
      </w:r>
      <w:proofErr w:type="spellStart"/>
      <w:r w:rsidRPr="00D64ABD">
        <w:rPr>
          <w:rFonts w:ascii="Calibri" w:hAnsi="Calibri"/>
        </w:rPr>
        <w:t>European</w:t>
      </w:r>
      <w:proofErr w:type="spellEnd"/>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 xml:space="preserve">Financial Planning </w:t>
      </w:r>
      <w:proofErr w:type="spellStart"/>
      <w:r w:rsidRPr="00D64ABD">
        <w:rPr>
          <w:rFonts w:ascii="Calibri" w:hAnsi="Calibri"/>
        </w:rPr>
        <w:t>Association</w:t>
      </w:r>
      <w:proofErr w:type="spellEnd"/>
      <w:r w:rsidRPr="00D64ABD">
        <w:rPr>
          <w:rFonts w:ascii="Calibri" w:hAnsi="Calibri"/>
        </w:rPr>
        <w:t>);</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Certyfikat </w:t>
      </w:r>
      <w:proofErr w:type="spellStart"/>
      <w:r w:rsidRPr="00D64ABD">
        <w:rPr>
          <w:rFonts w:ascii="Calibri" w:hAnsi="Calibri"/>
        </w:rPr>
        <w:t>ogólnobankowy</w:t>
      </w:r>
      <w:proofErr w:type="spellEnd"/>
      <w:r w:rsidRPr="00D64ABD">
        <w:rPr>
          <w:rFonts w:ascii="Calibri" w:hAnsi="Calibri"/>
        </w:rPr>
        <w:t xml:space="preserve">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 xml:space="preserve">informatycznych i informacyjnych (Digital </w:t>
      </w:r>
      <w:proofErr w:type="spellStart"/>
      <w:r w:rsidRPr="00D64ABD">
        <w:rPr>
          <w:rFonts w:ascii="Calibri" w:hAnsi="Calibri"/>
        </w:rPr>
        <w:t>Competence</w:t>
      </w:r>
      <w:proofErr w:type="spellEnd"/>
      <w:r w:rsidRPr="00D64ABD">
        <w:rPr>
          <w:rFonts w:ascii="Calibri" w:hAnsi="Calibri"/>
        </w:rPr>
        <w:t xml:space="preserve"> Framework),DIGCOMP, np.: certyfikat IC3 (Internet and Computing </w:t>
      </w:r>
      <w:proofErr w:type="spellStart"/>
      <w:r w:rsidRPr="00D64ABD">
        <w:rPr>
          <w:rFonts w:ascii="Calibri" w:hAnsi="Calibri"/>
        </w:rPr>
        <w:t>Core</w:t>
      </w:r>
      <w:proofErr w:type="spellEnd"/>
      <w:r w:rsidRPr="00D64ABD">
        <w:rPr>
          <w:rFonts w:ascii="Calibri" w:hAnsi="Calibri"/>
        </w:rPr>
        <w:t xml:space="preserve"> </w:t>
      </w:r>
      <w:proofErr w:type="spellStart"/>
      <w:r w:rsidRPr="00D64ABD">
        <w:rPr>
          <w:rFonts w:ascii="Calibri" w:hAnsi="Calibri"/>
        </w:rPr>
        <w:t>Certification</w:t>
      </w:r>
      <w:proofErr w:type="spellEnd"/>
      <w:r w:rsidRPr="00D64ABD">
        <w:rPr>
          <w:rFonts w:ascii="Calibri" w:hAnsi="Calibri"/>
        </w:rPr>
        <w:t>),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proofErr w:type="spellStart"/>
      <w:r w:rsidRPr="00D64ABD">
        <w:rPr>
          <w:rFonts w:ascii="Calibri" w:hAnsi="Calibri"/>
        </w:rPr>
        <w:t>Oracle</w:t>
      </w:r>
      <w:proofErr w:type="spellEnd"/>
      <w:r w:rsidRPr="00D64ABD">
        <w:rPr>
          <w:rFonts w:ascii="Calibri" w:hAnsi="Calibri"/>
        </w:rPr>
        <w:t xml:space="preserv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w:t>
      </w:r>
      <w:proofErr w:type="spellStart"/>
      <w:r w:rsidRPr="00D64ABD">
        <w:rPr>
          <w:rFonts w:ascii="Calibri" w:hAnsi="Calibri"/>
        </w:rPr>
        <w:t>Common</w:t>
      </w:r>
      <w:proofErr w:type="spellEnd"/>
      <w:r w:rsidRPr="00D64ABD">
        <w:rPr>
          <w:rFonts w:ascii="Calibri" w:hAnsi="Calibri"/>
        </w:rPr>
        <w:t xml:space="preserve"> </w:t>
      </w:r>
      <w:proofErr w:type="spellStart"/>
      <w:r w:rsidRPr="00D64ABD">
        <w:rPr>
          <w:rFonts w:ascii="Calibri" w:hAnsi="Calibri"/>
        </w:rPr>
        <w:t>European</w:t>
      </w:r>
      <w:proofErr w:type="spellEnd"/>
      <w:r w:rsidR="006509E7" w:rsidRPr="00D64ABD">
        <w:rPr>
          <w:rFonts w:ascii="Calibri" w:hAnsi="Calibri"/>
        </w:rPr>
        <w:t xml:space="preserve"> </w:t>
      </w:r>
      <w:r w:rsidRPr="00D64ABD">
        <w:rPr>
          <w:rFonts w:ascii="Calibri" w:hAnsi="Calibri"/>
        </w:rPr>
        <w:t xml:space="preserve">Framework of Reference for </w:t>
      </w:r>
      <w:proofErr w:type="spellStart"/>
      <w:r w:rsidRPr="00D64ABD">
        <w:rPr>
          <w:rFonts w:ascii="Calibri" w:hAnsi="Calibri"/>
        </w:rPr>
        <w:t>Languages</w:t>
      </w:r>
      <w:proofErr w:type="spellEnd"/>
      <w:r w:rsidRPr="00D64ABD">
        <w:rPr>
          <w:rFonts w:ascii="Calibri" w:hAnsi="Calibri"/>
        </w:rPr>
        <w:t>” - — „Europejski System Opisu 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proofErr w:type="spellStart"/>
      <w:r w:rsidRPr="00D64ABD">
        <w:rPr>
          <w:rFonts w:ascii="Calibri" w:hAnsi="Calibri"/>
          <w:lang w:val="en-US"/>
        </w:rPr>
        <w:t>np</w:t>
      </w:r>
      <w:proofErr w:type="spellEnd"/>
      <w:r w:rsidRPr="00D64ABD">
        <w:rPr>
          <w:rFonts w:ascii="Calibri" w:hAnsi="Calibri"/>
          <w:lang w:val="en-US"/>
        </w:rPr>
        <w:t>.: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Przykładowo certyfikat dla doradców finansowych EFA został wypracowany przez międzynarodową organizację pozarządową EFPA (</w:t>
      </w:r>
      <w:proofErr w:type="spellStart"/>
      <w:r w:rsidRPr="00D64ABD">
        <w:rPr>
          <w:rFonts w:ascii="Calibri" w:eastAsiaTheme="minorEastAsia" w:hAnsi="Calibri" w:cs="Arial"/>
        </w:rPr>
        <w:t>European</w:t>
      </w:r>
      <w:proofErr w:type="spellEnd"/>
      <w:r w:rsidRPr="00D64ABD">
        <w:rPr>
          <w:rFonts w:ascii="Calibri" w:eastAsiaTheme="minorEastAsia" w:hAnsi="Calibri" w:cs="Arial"/>
        </w:rPr>
        <w:t xml:space="preserve"> Financial Planning </w:t>
      </w:r>
      <w:proofErr w:type="spellStart"/>
      <w:r w:rsidRPr="00D64ABD">
        <w:rPr>
          <w:rFonts w:ascii="Calibri" w:eastAsiaTheme="minorEastAsia" w:hAnsi="Calibri" w:cs="Arial"/>
        </w:rPr>
        <w:t>Association</w:t>
      </w:r>
      <w:proofErr w:type="spellEnd"/>
      <w:r w:rsidRPr="00D64ABD">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Default="00AB62FD" w:rsidP="002D5A2C">
      <w:pPr>
        <w:spacing w:line="276" w:lineRule="auto"/>
        <w:ind w:left="11"/>
        <w:rPr>
          <w:rFonts w:ascii="Calibri" w:hAnsi="Calibri"/>
        </w:rPr>
      </w:pPr>
    </w:p>
    <w:p w14:paraId="67DF4182" w14:textId="77777777" w:rsidR="004D688D" w:rsidRDefault="004D688D" w:rsidP="002D5A2C">
      <w:pPr>
        <w:spacing w:line="276" w:lineRule="auto"/>
        <w:ind w:left="11"/>
        <w:rPr>
          <w:rFonts w:ascii="Calibri" w:hAnsi="Calibri"/>
        </w:rPr>
      </w:pPr>
    </w:p>
    <w:p w14:paraId="7AE113A1" w14:textId="77777777" w:rsidR="004D688D" w:rsidRDefault="004D688D" w:rsidP="002D5A2C">
      <w:pPr>
        <w:spacing w:line="276" w:lineRule="auto"/>
        <w:ind w:left="11"/>
        <w:rPr>
          <w:rFonts w:ascii="Calibri" w:hAnsi="Calibri"/>
        </w:rPr>
      </w:pPr>
    </w:p>
    <w:p w14:paraId="27BB0DE9" w14:textId="77777777" w:rsidR="004D688D" w:rsidRDefault="004D688D" w:rsidP="002D5A2C">
      <w:pPr>
        <w:spacing w:line="276" w:lineRule="auto"/>
        <w:ind w:left="11"/>
        <w:rPr>
          <w:rFonts w:ascii="Calibri" w:hAnsi="Calibri"/>
        </w:rPr>
      </w:pPr>
    </w:p>
    <w:p w14:paraId="4E117863" w14:textId="77777777" w:rsidR="004D688D" w:rsidRDefault="004D688D" w:rsidP="002D5A2C">
      <w:pPr>
        <w:spacing w:line="276" w:lineRule="auto"/>
        <w:ind w:left="11"/>
        <w:rPr>
          <w:rFonts w:ascii="Calibri" w:hAnsi="Calibri"/>
        </w:rPr>
      </w:pPr>
    </w:p>
    <w:p w14:paraId="0F445884" w14:textId="77777777" w:rsidR="004D688D" w:rsidRDefault="004D688D" w:rsidP="002D5A2C">
      <w:pPr>
        <w:spacing w:line="276" w:lineRule="auto"/>
        <w:ind w:left="11"/>
        <w:rPr>
          <w:rFonts w:ascii="Calibri" w:hAnsi="Calibri"/>
        </w:rPr>
      </w:pPr>
    </w:p>
    <w:p w14:paraId="4C047EAB" w14:textId="77777777" w:rsidR="004D688D" w:rsidRPr="00D64ABD" w:rsidRDefault="004D688D" w:rsidP="002D5A2C">
      <w:pPr>
        <w:spacing w:line="276" w:lineRule="auto"/>
        <w:ind w:left="11"/>
        <w:rPr>
          <w:rFonts w:ascii="Calibri" w:hAnsi="Calibri"/>
        </w:rPr>
      </w:pPr>
      <w:bookmarkStart w:id="1" w:name="_GoBack"/>
      <w:bookmarkEnd w:id="1"/>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proofErr w:type="spellStart"/>
            <w:r w:rsidRPr="00D64ABD">
              <w:rPr>
                <w:rFonts w:ascii="Calibri" w:hAnsi="Calibri"/>
              </w:rPr>
              <w:t>Competence</w:t>
            </w:r>
            <w:proofErr w:type="spellEnd"/>
            <w:r w:rsidRPr="00D64ABD">
              <w:rPr>
                <w:rFonts w:ascii="Calibri" w:hAnsi="Calibri"/>
              </w:rPr>
              <w:t xml:space="preserv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w:t>
            </w:r>
            <w:proofErr w:type="spellStart"/>
            <w:r w:rsidRPr="00D64ABD">
              <w:rPr>
                <w:rFonts w:ascii="Calibri" w:hAnsi="Calibri"/>
              </w:rPr>
              <w:t>np.ECDL</w:t>
            </w:r>
            <w:proofErr w:type="spellEnd"/>
            <w:r w:rsidRPr="00D64ABD">
              <w:rPr>
                <w:rFonts w:ascii="Calibri" w:hAnsi="Calibri"/>
              </w:rPr>
              <w:t>)</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ł Mehlich" w:date="2018-02-22T11:29:00Z" w:initials="MM">
    <w:p w14:paraId="5E1DEE15" w14:textId="6A928E8B" w:rsidR="006A32B4" w:rsidRDefault="006A32B4">
      <w:pPr>
        <w:pStyle w:val="Tekstkomentarza"/>
      </w:pPr>
      <w:r>
        <w:rPr>
          <w:rStyle w:val="Odwoaniedokomentarza"/>
        </w:rPr>
        <w:annotationRef/>
      </w:r>
      <w:r>
        <w:t>Co mają wspólnego przedszkola z poddziałaniami 9.1.1 i 9.1.2?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DE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4D688D">
          <w:rPr>
            <w:noProof/>
          </w:rPr>
          <w:t>1</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Default="006A32B4"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oraz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w:t>
      </w:r>
      <w:proofErr w:type="spellStart"/>
      <w:r>
        <w:rPr>
          <w:rFonts w:asciiTheme="minorHAnsi" w:hAnsiTheme="minorHAnsi"/>
          <w:sz w:val="18"/>
          <w:szCs w:val="18"/>
        </w:rPr>
        <w:t>literacy</w:t>
      </w:r>
      <w:proofErr w:type="spellEnd"/>
      <w:r>
        <w:rPr>
          <w:rFonts w:asciiTheme="minorHAnsi" w:hAnsiTheme="minorHAnsi"/>
          <w:sz w:val="18"/>
          <w:szCs w:val="18"/>
        </w:rPr>
        <w:t>),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Default="006A32B4" w:rsidP="008313B0">
      <w:pPr>
        <w:pStyle w:val="Tekstprzypisudolnego"/>
      </w:pPr>
      <w:r>
        <w:rPr>
          <w:rStyle w:val="Odwoanieprzypisudolnego"/>
        </w:rPr>
        <w:footnoteRef/>
      </w:r>
      <w:r>
        <w:t xml:space="preserve"> </w:t>
      </w:r>
      <w:r>
        <w:rPr>
          <w:rFonts w:ascii="Calibri" w:hAnsi="Calibri" w:cs="Calibri"/>
          <w:sz w:val="19"/>
          <w:szCs w:val="19"/>
        </w:rPr>
        <w:t>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739E3BFF" w14:textId="2D967E44" w:rsidR="006A32B4" w:rsidRDefault="006A32B4" w:rsidP="00B87AAB">
      <w:pPr>
        <w:pStyle w:val="Tekstprzypisudolnego"/>
      </w:pPr>
      <w:r>
        <w:rPr>
          <w:rStyle w:val="Odwoanieprzypisudolnego"/>
        </w:rPr>
        <w:footnoteRef/>
      </w:r>
      <w:r>
        <w:t xml:space="preserve"> http://efs.men.gov.pl/dokumenty/wytyczne-w-zakresie-realizacji-przedsiewziec-z-udzialem-srodkow-</w:t>
      </w:r>
    </w:p>
    <w:p w14:paraId="4A09DF4B" w14:textId="4628564C" w:rsidR="006A32B4" w:rsidRDefault="006A32B4" w:rsidP="00B87AAB">
      <w:pPr>
        <w:pStyle w:val="Tekstprzypisudolnego"/>
      </w:pPr>
      <w:r>
        <w:t>europejskiego-funduszu-spolecznego-w-obszarze-edukacji-na-lata-2014-2020/</w:t>
      </w:r>
    </w:p>
  </w:footnote>
  <w:footnote w:id="4">
    <w:p w14:paraId="4B74CD17" w14:textId="77777777" w:rsidR="006A32B4" w:rsidRPr="00FF4D20" w:rsidRDefault="006A32B4"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5BE1FC71"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52892C3" w14:textId="079E5917" w:rsidR="006A32B4" w:rsidRDefault="006A32B4" w:rsidP="00954E2F">
      <w:pPr>
        <w:pStyle w:val="Tekstprzypisudolnego"/>
      </w:pPr>
      <w:r>
        <w:t>europejskiego-funduszu-spolecznego-w-obszarze-edukacji-na-lata-2014-2020/</w:t>
      </w:r>
    </w:p>
  </w:footnote>
  <w:footnote w:id="6">
    <w:p w14:paraId="1F54B1C5" w14:textId="75FA0038" w:rsidR="006A32B4" w:rsidRDefault="006A32B4" w:rsidP="00954E2F">
      <w:pPr>
        <w:pStyle w:val="Tekstprzypisudolnego"/>
      </w:pPr>
      <w:r>
        <w:rPr>
          <w:rStyle w:val="Odwoanieprzypisudolnego"/>
        </w:rPr>
        <w:footnoteRef/>
      </w:r>
      <w: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1F663A1" w14:textId="208FB6D3" w:rsidR="006A32B4" w:rsidRDefault="006A32B4" w:rsidP="00954E2F">
      <w:pPr>
        <w:pStyle w:val="Tekstprzypisudolnego"/>
      </w:pPr>
      <w:r>
        <w:t>europejskiego-funduszu-spolecznego-w-obszarze-edukacji-na-lata-2014-2020/</w:t>
      </w:r>
    </w:p>
  </w:footnote>
  <w:footnote w:id="8">
    <w:p w14:paraId="4BAB7FF1" w14:textId="77777777" w:rsidR="006A32B4" w:rsidRDefault="006A32B4" w:rsidP="008313B0">
      <w:pPr>
        <w:autoSpaceDE w:val="0"/>
        <w:autoSpaceDN w:val="0"/>
        <w:adjustRightInd w:val="0"/>
        <w:jc w:val="both"/>
      </w:pPr>
      <w:r>
        <w:rPr>
          <w:rStyle w:val="Odwoanieprzypisudolnego"/>
        </w:rPr>
        <w:footnoteRef/>
      </w:r>
      <w:r>
        <w:t xml:space="preserve"> </w:t>
      </w:r>
      <w:r>
        <w:rPr>
          <w:rFonts w:ascii="Calibri" w:hAnsi="Calibri" w:cs="Calibri"/>
          <w:sz w:val="19"/>
          <w:szCs w:val="19"/>
        </w:rPr>
        <w:t>W ramach 4 typu projektu zakłada się, iż działania określone w ramach lit. b) i c) uwzględniają współpracę z rodzicami.</w:t>
      </w:r>
    </w:p>
  </w:footnote>
  <w:footnote w:id="9">
    <w:p w14:paraId="62BC4A62" w14:textId="77777777" w:rsidR="006A32B4" w:rsidRDefault="006A32B4"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7E1E5179" w14:textId="77777777" w:rsidR="006A32B4" w:rsidRPr="00D94978" w:rsidRDefault="006A32B4" w:rsidP="00AB62FD">
      <w:pPr>
        <w:pStyle w:val="Tekstprzypisudolnego"/>
        <w:rPr>
          <w:rFonts w:asciiTheme="minorHAnsi" w:hAnsiTheme="minorHAnsi"/>
          <w:sz w:val="18"/>
          <w:szCs w:val="18"/>
        </w:rPr>
      </w:pPr>
      <w:r w:rsidRPr="00D94978">
        <w:rPr>
          <w:rStyle w:val="Odwoanieprzypisudolnego"/>
          <w:rFonts w:asciiTheme="minorHAnsi" w:hAnsiTheme="minorHAnsi"/>
          <w:sz w:val="18"/>
          <w:szCs w:val="18"/>
        </w:rPr>
        <w:footnoteRef/>
      </w:r>
      <w:r w:rsidRPr="00D94978">
        <w:rPr>
          <w:rFonts w:asciiTheme="minorHAnsi" w:hAnsiTheme="minorHAnsi"/>
          <w:sz w:val="18"/>
          <w:szCs w:val="18"/>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Default="006A32B4" w:rsidP="00AB62FD">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6B4DE689" w14:textId="77777777" w:rsidR="006A32B4" w:rsidRDefault="006A32B4" w:rsidP="00AB62FD">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EF63" w14:textId="226CC19C" w:rsidR="006A32B4" w:rsidRPr="009D15F4" w:rsidRDefault="006A32B4" w:rsidP="004D688D">
    <w:pPr>
      <w:pStyle w:val="Nagwek"/>
      <w:jc w:val="right"/>
      <w:rPr>
        <w:rFonts w:ascii="Calibri" w:hAnsi="Calibri"/>
        <w:sz w:val="20"/>
        <w:szCs w:val="20"/>
      </w:rPr>
    </w:pPr>
    <w:r w:rsidRPr="009D15F4">
      <w:rPr>
        <w:rFonts w:ascii="Calibri" w:hAnsi="Calibri"/>
        <w:sz w:val="20"/>
        <w:szCs w:val="20"/>
      </w:rPr>
      <w:t>Załącz</w:t>
    </w:r>
    <w:r>
      <w:rPr>
        <w:rFonts w:ascii="Calibri" w:hAnsi="Calibri"/>
        <w:sz w:val="20"/>
        <w:szCs w:val="20"/>
      </w:rPr>
      <w:t xml:space="preserve">nik nr </w:t>
    </w:r>
    <w:r w:rsidR="004D688D">
      <w:rPr>
        <w:rFonts w:ascii="Calibri" w:hAnsi="Calibri"/>
        <w:sz w:val="20"/>
        <w:szCs w:val="20"/>
      </w:rPr>
      <w:t>13 do Decyzji</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Mehlich">
    <w15:presenceInfo w15:providerId="AD" w15:userId="S-1-5-21-2587086642-3037542290-378664919-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5747"/>
    <w:rsid w:val="004A5E70"/>
    <w:rsid w:val="004B33A4"/>
    <w:rsid w:val="004D2B79"/>
    <w:rsid w:val="004D688D"/>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n.gov.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D223-09B0-427A-8FD2-CA9739B3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12610</Words>
  <Characters>75665</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Monika Dobrzańska</cp:lastModifiedBy>
  <cp:revision>14</cp:revision>
  <cp:lastPrinted>2018-02-28T10:18:00Z</cp:lastPrinted>
  <dcterms:created xsi:type="dcterms:W3CDTF">2018-02-28T08:45:00Z</dcterms:created>
  <dcterms:modified xsi:type="dcterms:W3CDTF">2018-03-06T11:27:00Z</dcterms:modified>
</cp:coreProperties>
</file>